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vertAnchor="page" w:tblpXSpec="center" w:tblpY="45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4D446CE5" w14:textId="77777777" w:rsidTr="00D800CF">
        <w:trPr>
          <w:trHeight w:hRule="exact" w:val="4253"/>
        </w:trPr>
        <w:tc>
          <w:tcPr>
            <w:tcW w:w="8494" w:type="dxa"/>
          </w:tcPr>
          <w:p w14:paraId="6EA50F2F" w14:textId="77777777" w:rsidR="00535D93" w:rsidRDefault="00D800CF" w:rsidP="00BD0187">
            <w:pPr>
              <w:pStyle w:val="Undertittel"/>
            </w:pPr>
            <w:r>
              <w:rPr>
                <w:noProof/>
              </w:rPr>
              <w:drawing>
                <wp:inline distT="0" distB="0" distL="0" distR="0" wp14:anchorId="54C4F5B2" wp14:editId="231298E4">
                  <wp:extent cx="2160000" cy="2160000"/>
                  <wp:effectExtent l="0" t="0" r="0" b="0"/>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0" cy="2160000"/>
                          </a:xfrm>
                          <a:prstGeom prst="rect">
                            <a:avLst/>
                          </a:prstGeom>
                        </pic:spPr>
                      </pic:pic>
                    </a:graphicData>
                  </a:graphic>
                </wp:inline>
              </w:drawing>
            </w:r>
          </w:p>
        </w:tc>
      </w:tr>
      <w:tr w:rsidR="00535D93" w14:paraId="3C0206DB" w14:textId="77777777" w:rsidTr="00BD0187">
        <w:sdt>
          <w:sdtPr>
            <w:alias w:val="Tittel"/>
            <w:tag w:val="Tittel"/>
            <w:id w:val="1543015835"/>
            <w:placeholder>
              <w:docPart w:val="D46065D2571D493F8C227552DCA6BF69"/>
            </w:placeholder>
            <w:dataBinding w:xpath="/root[1]/Tittel[1]" w:storeItemID="{63A34530-F6D5-4DA7-86C0-3EA00FDDB671}"/>
            <w:text w:multiLine="1"/>
          </w:sdtPr>
          <w:sdtEndPr/>
          <w:sdtContent>
            <w:tc>
              <w:tcPr>
                <w:tcW w:w="8494" w:type="dxa"/>
              </w:tcPr>
              <w:p w14:paraId="5512598B" w14:textId="12543D91" w:rsidR="00535D93" w:rsidRDefault="003A563E" w:rsidP="00535D93">
                <w:pPr>
                  <w:pStyle w:val="Tittel"/>
                </w:pPr>
                <w:r>
                  <w:t>Konjunktu</w:t>
                </w:r>
                <w:r w:rsidR="00490D61">
                  <w:t>rutsiktene</w:t>
                </w:r>
              </w:p>
            </w:tc>
          </w:sdtContent>
        </w:sdt>
      </w:tr>
      <w:tr w:rsidR="00535D93" w14:paraId="59F71A42" w14:textId="77777777" w:rsidTr="00BD0187">
        <w:sdt>
          <w:sdtPr>
            <w:rPr>
              <w:sz w:val="28"/>
              <w:szCs w:val="20"/>
            </w:rPr>
            <w:alias w:val="Undertittel"/>
            <w:tag w:val="Undertittel"/>
            <w:id w:val="2072995943"/>
            <w:placeholder>
              <w:docPart w:val="A6B44779B8054345BD83D451C4999584"/>
            </w:placeholder>
            <w:dataBinding w:xpath="/root[1]/Undertittel[1]" w:storeItemID="{63A34530-F6D5-4DA7-86C0-3EA00FDDB671}"/>
            <w:text w:multiLine="1"/>
          </w:sdtPr>
          <w:sdtEndPr/>
          <w:sdtContent>
            <w:tc>
              <w:tcPr>
                <w:tcW w:w="8494" w:type="dxa"/>
              </w:tcPr>
              <w:p w14:paraId="34CDE5D6" w14:textId="13074D94" w:rsidR="00535D93" w:rsidRPr="00535D93" w:rsidRDefault="00A50B2B" w:rsidP="00535D93">
                <w:pPr>
                  <w:pStyle w:val="Undertittel"/>
                </w:pPr>
                <w:r w:rsidRPr="00AD0E42">
                  <w:rPr>
                    <w:sz w:val="28"/>
                    <w:szCs w:val="20"/>
                  </w:rPr>
                  <w:t xml:space="preserve">Våren </w:t>
                </w:r>
                <w:r w:rsidR="007813AD" w:rsidRPr="00AD0E42">
                  <w:rPr>
                    <w:sz w:val="28"/>
                    <w:szCs w:val="20"/>
                  </w:rPr>
                  <w:t>2022</w:t>
                </w:r>
                <w:r w:rsidR="007813AD" w:rsidRPr="00AD0E42">
                  <w:rPr>
                    <w:sz w:val="28"/>
                    <w:szCs w:val="20"/>
                  </w:rPr>
                  <w:br/>
                  <w:t>Samfunnspolitisk avdeling</w:t>
                </w:r>
                <w:r w:rsidR="0049589F" w:rsidRPr="00AD0E42">
                  <w:rPr>
                    <w:sz w:val="28"/>
                    <w:szCs w:val="20"/>
                  </w:rPr>
                  <w:br/>
                  <w:t>S</w:t>
                </w:r>
                <w:r w:rsidR="0035642C" w:rsidRPr="00AD0E42">
                  <w:rPr>
                    <w:sz w:val="28"/>
                    <w:szCs w:val="20"/>
                  </w:rPr>
                  <w:t>amfunns</w:t>
                </w:r>
                <w:r w:rsidR="00F848DE" w:rsidRPr="00AD0E42">
                  <w:rPr>
                    <w:sz w:val="28"/>
                    <w:szCs w:val="20"/>
                  </w:rPr>
                  <w:t>notat nr. 1 – mai 2022</w:t>
                </w:r>
              </w:p>
            </w:tc>
          </w:sdtContent>
        </w:sdt>
      </w:tr>
    </w:tbl>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4A982C40" w14:textId="77777777" w:rsidTr="00D800CF">
        <w:sdt>
          <w:sdtPr>
            <w:alias w:val="Bunntekst"/>
            <w:tag w:val="Bunntekst"/>
            <w:id w:val="-1785647578"/>
            <w:placeholder>
              <w:docPart w:val="5255F2EAE9B44FE0BD1E16B75B0B4A4C"/>
            </w:placeholder>
            <w:dataBinding w:xpath="/root[1]/Bunntekst[1]" w:storeItemID="{63A34530-F6D5-4DA7-86C0-3EA00FDDB671}"/>
            <w:text w:multiLine="1"/>
          </w:sdtPr>
          <w:sdtEndPr/>
          <w:sdtContent>
            <w:tc>
              <w:tcPr>
                <w:tcW w:w="8494" w:type="dxa"/>
                <w:vAlign w:val="bottom"/>
              </w:tcPr>
              <w:p w14:paraId="77B735CF" w14:textId="3891A7EE" w:rsidR="00D800CF" w:rsidRDefault="007070AF" w:rsidP="00D800CF">
                <w:pPr>
                  <w:contextualSpacing/>
                  <w:jc w:val="center"/>
                </w:pPr>
                <w:r>
                  <w:t>Konjunkturutsiktene</w:t>
                </w:r>
              </w:p>
            </w:tc>
          </w:sdtContent>
        </w:sdt>
      </w:tr>
    </w:tbl>
    <w:p w14:paraId="4AE67C60" w14:textId="77777777" w:rsidR="00D800CF" w:rsidRPr="00D800CF" w:rsidRDefault="00D800CF" w:rsidP="00D800CF"/>
    <w:p w14:paraId="073E42A6" w14:textId="77777777" w:rsidR="00D800CF" w:rsidRPr="00D800CF" w:rsidRDefault="00D800CF" w:rsidP="00D800CF"/>
    <w:p w14:paraId="7A8F90A0" w14:textId="77777777" w:rsidR="00D800CF" w:rsidRDefault="00D800CF" w:rsidP="00C673A9">
      <w:pPr>
        <w:pStyle w:val="Ingress"/>
        <w:sectPr w:rsidR="00D800CF" w:rsidSect="00D800CF">
          <w:footerReference w:type="default" r:id="rId14"/>
          <w:pgSz w:w="11906" w:h="16838"/>
          <w:pgMar w:top="1701" w:right="1701" w:bottom="1418" w:left="1701" w:header="680" w:footer="680" w:gutter="0"/>
          <w:cols w:space="708"/>
          <w:titlePg/>
          <w:docGrid w:linePitch="360"/>
        </w:sectPr>
      </w:pPr>
    </w:p>
    <w:p w14:paraId="70AC3E69" w14:textId="77777777" w:rsidR="00535D93" w:rsidRPr="00BD0187" w:rsidRDefault="00535D93" w:rsidP="00BD0187">
      <w:pPr>
        <w:spacing w:after="520" w:line="480" w:lineRule="atLeast"/>
        <w:ind w:left="1134"/>
        <w:rPr>
          <w:b/>
          <w:bCs/>
          <w:sz w:val="40"/>
          <w:szCs w:val="40"/>
        </w:rPr>
      </w:pPr>
      <w:r w:rsidRPr="00BD0187">
        <w:rPr>
          <w:b/>
          <w:bCs/>
          <w:sz w:val="40"/>
          <w:szCs w:val="40"/>
        </w:rPr>
        <w:lastRenderedPageBreak/>
        <w:t>Innhold</w:t>
      </w:r>
    </w:p>
    <w:p w14:paraId="25A935C5" w14:textId="548FCABA" w:rsidR="001E5813" w:rsidRDefault="00535D93">
      <w:pPr>
        <w:pStyle w:val="INNH1"/>
        <w:rPr>
          <w:rFonts w:eastAsiaTheme="minorEastAsia"/>
          <w:b w:val="0"/>
          <w:noProof/>
          <w:sz w:val="22"/>
          <w:lang w:eastAsia="nb-NO"/>
        </w:rPr>
      </w:pPr>
      <w:r>
        <w:fldChar w:fldCharType="begin"/>
      </w:r>
      <w:r>
        <w:instrText xml:space="preserve"> TOC \o "1-2" \h \z \u </w:instrText>
      </w:r>
      <w:r>
        <w:fldChar w:fldCharType="separate"/>
      </w:r>
      <w:hyperlink w:anchor="_Toc103066732" w:history="1">
        <w:r w:rsidR="001E5813" w:rsidRPr="00230E6A">
          <w:rPr>
            <w:rStyle w:val="Hyperkobling"/>
            <w:noProof/>
          </w:rPr>
          <w:t>1.</w:t>
        </w:r>
        <w:r w:rsidR="001E5813">
          <w:rPr>
            <w:rFonts w:eastAsiaTheme="minorEastAsia"/>
            <w:b w:val="0"/>
            <w:noProof/>
            <w:sz w:val="22"/>
            <w:lang w:eastAsia="nb-NO"/>
          </w:rPr>
          <w:tab/>
        </w:r>
        <w:r w:rsidR="001E5813" w:rsidRPr="00230E6A">
          <w:rPr>
            <w:rStyle w:val="Hyperkobling"/>
            <w:noProof/>
          </w:rPr>
          <w:t>Betydelig bedring, tidsvindu for inkludering</w:t>
        </w:r>
        <w:r w:rsidR="001E5813">
          <w:rPr>
            <w:noProof/>
            <w:webHidden/>
          </w:rPr>
          <w:tab/>
        </w:r>
        <w:r w:rsidR="001E5813">
          <w:rPr>
            <w:noProof/>
            <w:webHidden/>
          </w:rPr>
          <w:fldChar w:fldCharType="begin"/>
        </w:r>
        <w:r w:rsidR="001E5813">
          <w:rPr>
            <w:noProof/>
            <w:webHidden/>
          </w:rPr>
          <w:instrText xml:space="preserve"> PAGEREF _Toc103066732 \h </w:instrText>
        </w:r>
        <w:r w:rsidR="001E5813">
          <w:rPr>
            <w:noProof/>
            <w:webHidden/>
          </w:rPr>
        </w:r>
        <w:r w:rsidR="001E5813">
          <w:rPr>
            <w:noProof/>
            <w:webHidden/>
          </w:rPr>
          <w:fldChar w:fldCharType="separate"/>
        </w:r>
        <w:r w:rsidR="001E5813">
          <w:rPr>
            <w:noProof/>
            <w:webHidden/>
          </w:rPr>
          <w:t>3</w:t>
        </w:r>
        <w:r w:rsidR="001E5813">
          <w:rPr>
            <w:noProof/>
            <w:webHidden/>
          </w:rPr>
          <w:fldChar w:fldCharType="end"/>
        </w:r>
      </w:hyperlink>
    </w:p>
    <w:p w14:paraId="6780A067" w14:textId="729DEA2F" w:rsidR="001E5813" w:rsidRDefault="00BA5436">
      <w:pPr>
        <w:pStyle w:val="INNH1"/>
        <w:rPr>
          <w:rFonts w:eastAsiaTheme="minorEastAsia"/>
          <w:b w:val="0"/>
          <w:noProof/>
          <w:sz w:val="22"/>
          <w:lang w:eastAsia="nb-NO"/>
        </w:rPr>
      </w:pPr>
      <w:hyperlink w:anchor="_Toc103066733" w:history="1">
        <w:r w:rsidR="001E5813" w:rsidRPr="00230E6A">
          <w:rPr>
            <w:rStyle w:val="Hyperkobling"/>
            <w:noProof/>
          </w:rPr>
          <w:t>2.</w:t>
        </w:r>
        <w:r w:rsidR="001E5813">
          <w:rPr>
            <w:rFonts w:eastAsiaTheme="minorEastAsia"/>
            <w:b w:val="0"/>
            <w:noProof/>
            <w:sz w:val="22"/>
            <w:lang w:eastAsia="nb-NO"/>
          </w:rPr>
          <w:tab/>
        </w:r>
        <w:r w:rsidR="001E5813" w:rsidRPr="00230E6A">
          <w:rPr>
            <w:rStyle w:val="Hyperkobling"/>
            <w:noProof/>
          </w:rPr>
          <w:t>Konjunkturvurdering</w:t>
        </w:r>
        <w:r w:rsidR="001E5813">
          <w:rPr>
            <w:noProof/>
            <w:webHidden/>
          </w:rPr>
          <w:tab/>
        </w:r>
        <w:r w:rsidR="001E5813">
          <w:rPr>
            <w:noProof/>
            <w:webHidden/>
          </w:rPr>
          <w:fldChar w:fldCharType="begin"/>
        </w:r>
        <w:r w:rsidR="001E5813">
          <w:rPr>
            <w:noProof/>
            <w:webHidden/>
          </w:rPr>
          <w:instrText xml:space="preserve"> PAGEREF _Toc103066733 \h </w:instrText>
        </w:r>
        <w:r w:rsidR="001E5813">
          <w:rPr>
            <w:noProof/>
            <w:webHidden/>
          </w:rPr>
        </w:r>
        <w:r w:rsidR="001E5813">
          <w:rPr>
            <w:noProof/>
            <w:webHidden/>
          </w:rPr>
          <w:fldChar w:fldCharType="separate"/>
        </w:r>
        <w:r w:rsidR="001E5813">
          <w:rPr>
            <w:noProof/>
            <w:webHidden/>
          </w:rPr>
          <w:t>6</w:t>
        </w:r>
        <w:r w:rsidR="001E5813">
          <w:rPr>
            <w:noProof/>
            <w:webHidden/>
          </w:rPr>
          <w:fldChar w:fldCharType="end"/>
        </w:r>
      </w:hyperlink>
    </w:p>
    <w:p w14:paraId="4C968774" w14:textId="023811AE" w:rsidR="001E5813" w:rsidRDefault="00BA5436">
      <w:pPr>
        <w:pStyle w:val="INNH2"/>
        <w:tabs>
          <w:tab w:val="left" w:pos="2268"/>
          <w:tab w:val="right" w:pos="8494"/>
        </w:tabs>
        <w:rPr>
          <w:rFonts w:eastAsiaTheme="minorEastAsia"/>
          <w:noProof/>
          <w:sz w:val="22"/>
          <w:lang w:eastAsia="nb-NO"/>
        </w:rPr>
      </w:pPr>
      <w:hyperlink w:anchor="_Toc103066734" w:history="1">
        <w:r w:rsidR="001E5813" w:rsidRPr="00230E6A">
          <w:rPr>
            <w:rStyle w:val="Hyperkobling"/>
            <w:noProof/>
          </w:rPr>
          <w:t>2.1</w:t>
        </w:r>
        <w:r w:rsidR="001E5813">
          <w:rPr>
            <w:rFonts w:eastAsiaTheme="minorEastAsia"/>
            <w:noProof/>
            <w:sz w:val="22"/>
            <w:lang w:eastAsia="nb-NO"/>
          </w:rPr>
          <w:tab/>
        </w:r>
        <w:r w:rsidR="001E5813" w:rsidRPr="00230E6A">
          <w:rPr>
            <w:rStyle w:val="Hyperkobling"/>
            <w:noProof/>
          </w:rPr>
          <w:t>Norsk økonomi</w:t>
        </w:r>
        <w:r w:rsidR="001E5813">
          <w:rPr>
            <w:noProof/>
            <w:webHidden/>
          </w:rPr>
          <w:tab/>
        </w:r>
        <w:r w:rsidR="001E5813">
          <w:rPr>
            <w:noProof/>
            <w:webHidden/>
          </w:rPr>
          <w:fldChar w:fldCharType="begin"/>
        </w:r>
        <w:r w:rsidR="001E5813">
          <w:rPr>
            <w:noProof/>
            <w:webHidden/>
          </w:rPr>
          <w:instrText xml:space="preserve"> PAGEREF _Toc103066734 \h </w:instrText>
        </w:r>
        <w:r w:rsidR="001E5813">
          <w:rPr>
            <w:noProof/>
            <w:webHidden/>
          </w:rPr>
        </w:r>
        <w:r w:rsidR="001E5813">
          <w:rPr>
            <w:noProof/>
            <w:webHidden/>
          </w:rPr>
          <w:fldChar w:fldCharType="separate"/>
        </w:r>
        <w:r w:rsidR="001E5813">
          <w:rPr>
            <w:noProof/>
            <w:webHidden/>
          </w:rPr>
          <w:t>6</w:t>
        </w:r>
        <w:r w:rsidR="001E5813">
          <w:rPr>
            <w:noProof/>
            <w:webHidden/>
          </w:rPr>
          <w:fldChar w:fldCharType="end"/>
        </w:r>
      </w:hyperlink>
    </w:p>
    <w:p w14:paraId="45D74688" w14:textId="6998FCA0" w:rsidR="001E5813" w:rsidRDefault="00BA5436">
      <w:pPr>
        <w:pStyle w:val="INNH1"/>
        <w:rPr>
          <w:rFonts w:eastAsiaTheme="minorEastAsia"/>
          <w:b w:val="0"/>
          <w:noProof/>
          <w:sz w:val="22"/>
          <w:lang w:eastAsia="nb-NO"/>
        </w:rPr>
      </w:pPr>
      <w:hyperlink w:anchor="_Toc103066735" w:history="1">
        <w:r w:rsidR="001E5813" w:rsidRPr="00230E6A">
          <w:rPr>
            <w:rStyle w:val="Hyperkobling"/>
            <w:noProof/>
          </w:rPr>
          <w:t>3.</w:t>
        </w:r>
        <w:r w:rsidR="001E5813">
          <w:rPr>
            <w:rFonts w:eastAsiaTheme="minorEastAsia"/>
            <w:b w:val="0"/>
            <w:noProof/>
            <w:sz w:val="22"/>
            <w:lang w:eastAsia="nb-NO"/>
          </w:rPr>
          <w:tab/>
        </w:r>
        <w:r w:rsidR="001E5813" w:rsidRPr="00230E6A">
          <w:rPr>
            <w:rStyle w:val="Hyperkobling"/>
            <w:noProof/>
          </w:rPr>
          <w:t>Situasjonen på arbeidsmarkedet</w:t>
        </w:r>
        <w:r w:rsidR="001E5813">
          <w:rPr>
            <w:noProof/>
            <w:webHidden/>
          </w:rPr>
          <w:tab/>
        </w:r>
        <w:r w:rsidR="001E5813">
          <w:rPr>
            <w:noProof/>
            <w:webHidden/>
          </w:rPr>
          <w:fldChar w:fldCharType="begin"/>
        </w:r>
        <w:r w:rsidR="001E5813">
          <w:rPr>
            <w:noProof/>
            <w:webHidden/>
          </w:rPr>
          <w:instrText xml:space="preserve"> PAGEREF _Toc103066735 \h </w:instrText>
        </w:r>
        <w:r w:rsidR="001E5813">
          <w:rPr>
            <w:noProof/>
            <w:webHidden/>
          </w:rPr>
        </w:r>
        <w:r w:rsidR="001E5813">
          <w:rPr>
            <w:noProof/>
            <w:webHidden/>
          </w:rPr>
          <w:fldChar w:fldCharType="separate"/>
        </w:r>
        <w:r w:rsidR="001E5813">
          <w:rPr>
            <w:noProof/>
            <w:webHidden/>
          </w:rPr>
          <w:t>17</w:t>
        </w:r>
        <w:r w:rsidR="001E5813">
          <w:rPr>
            <w:noProof/>
            <w:webHidden/>
          </w:rPr>
          <w:fldChar w:fldCharType="end"/>
        </w:r>
      </w:hyperlink>
    </w:p>
    <w:p w14:paraId="6EB99DA1" w14:textId="76504B74" w:rsidR="001E5813" w:rsidRDefault="00BA5436">
      <w:pPr>
        <w:pStyle w:val="INNH2"/>
        <w:tabs>
          <w:tab w:val="left" w:pos="2268"/>
          <w:tab w:val="right" w:pos="8494"/>
        </w:tabs>
        <w:rPr>
          <w:rFonts w:eastAsiaTheme="minorEastAsia"/>
          <w:noProof/>
          <w:sz w:val="22"/>
          <w:lang w:eastAsia="nb-NO"/>
        </w:rPr>
      </w:pPr>
      <w:hyperlink w:anchor="_Toc103066736" w:history="1">
        <w:r w:rsidR="001E5813" w:rsidRPr="00230E6A">
          <w:rPr>
            <w:rStyle w:val="Hyperkobling"/>
            <w:noProof/>
            <w:lang w:eastAsia="nb-NO"/>
          </w:rPr>
          <w:t>3.1</w:t>
        </w:r>
        <w:r w:rsidR="001E5813">
          <w:rPr>
            <w:rFonts w:eastAsiaTheme="minorEastAsia"/>
            <w:noProof/>
            <w:sz w:val="22"/>
            <w:lang w:eastAsia="nb-NO"/>
          </w:rPr>
          <w:tab/>
        </w:r>
        <w:r w:rsidR="001E5813" w:rsidRPr="00230E6A">
          <w:rPr>
            <w:rStyle w:val="Hyperkobling"/>
            <w:noProof/>
            <w:lang w:eastAsia="nb-NO"/>
          </w:rPr>
          <w:t>Mange ledige stillinger og kompetanse-mismatch</w:t>
        </w:r>
        <w:r w:rsidR="001E5813">
          <w:rPr>
            <w:noProof/>
            <w:webHidden/>
          </w:rPr>
          <w:tab/>
        </w:r>
        <w:r w:rsidR="001E5813">
          <w:rPr>
            <w:noProof/>
            <w:webHidden/>
          </w:rPr>
          <w:fldChar w:fldCharType="begin"/>
        </w:r>
        <w:r w:rsidR="001E5813">
          <w:rPr>
            <w:noProof/>
            <w:webHidden/>
          </w:rPr>
          <w:instrText xml:space="preserve"> PAGEREF _Toc103066736 \h </w:instrText>
        </w:r>
        <w:r w:rsidR="001E5813">
          <w:rPr>
            <w:noProof/>
            <w:webHidden/>
          </w:rPr>
        </w:r>
        <w:r w:rsidR="001E5813">
          <w:rPr>
            <w:noProof/>
            <w:webHidden/>
          </w:rPr>
          <w:fldChar w:fldCharType="separate"/>
        </w:r>
        <w:r w:rsidR="001E5813">
          <w:rPr>
            <w:noProof/>
            <w:webHidden/>
          </w:rPr>
          <w:t>21</w:t>
        </w:r>
        <w:r w:rsidR="001E5813">
          <w:rPr>
            <w:noProof/>
            <w:webHidden/>
          </w:rPr>
          <w:fldChar w:fldCharType="end"/>
        </w:r>
      </w:hyperlink>
    </w:p>
    <w:p w14:paraId="61E11B9A" w14:textId="7BA95093" w:rsidR="001E5813" w:rsidRDefault="00BA5436">
      <w:pPr>
        <w:pStyle w:val="INNH2"/>
        <w:tabs>
          <w:tab w:val="left" w:pos="2268"/>
          <w:tab w:val="right" w:pos="8494"/>
        </w:tabs>
        <w:rPr>
          <w:rFonts w:eastAsiaTheme="minorEastAsia"/>
          <w:noProof/>
          <w:sz w:val="22"/>
          <w:lang w:eastAsia="nb-NO"/>
        </w:rPr>
      </w:pPr>
      <w:hyperlink w:anchor="_Toc103066737" w:history="1">
        <w:r w:rsidR="001E5813" w:rsidRPr="00230E6A">
          <w:rPr>
            <w:rStyle w:val="Hyperkobling"/>
            <w:noProof/>
            <w:lang w:eastAsia="nb-NO"/>
          </w:rPr>
          <w:t>3.2</w:t>
        </w:r>
        <w:r w:rsidR="001E5813">
          <w:rPr>
            <w:rFonts w:eastAsiaTheme="minorEastAsia"/>
            <w:noProof/>
            <w:sz w:val="22"/>
            <w:lang w:eastAsia="nb-NO"/>
          </w:rPr>
          <w:tab/>
        </w:r>
        <w:r w:rsidR="001E5813" w:rsidRPr="00230E6A">
          <w:rPr>
            <w:rStyle w:val="Hyperkobling"/>
            <w:noProof/>
            <w:lang w:eastAsia="nb-NO"/>
          </w:rPr>
          <w:t>…samtidig som mange er utenfor arbeidslivet, eller står i fare for å falle ut</w:t>
        </w:r>
        <w:r w:rsidR="001E5813">
          <w:rPr>
            <w:noProof/>
            <w:webHidden/>
          </w:rPr>
          <w:tab/>
        </w:r>
        <w:r w:rsidR="001E5813">
          <w:rPr>
            <w:noProof/>
            <w:webHidden/>
          </w:rPr>
          <w:fldChar w:fldCharType="begin"/>
        </w:r>
        <w:r w:rsidR="001E5813">
          <w:rPr>
            <w:noProof/>
            <w:webHidden/>
          </w:rPr>
          <w:instrText xml:space="preserve"> PAGEREF _Toc103066737 \h </w:instrText>
        </w:r>
        <w:r w:rsidR="001E5813">
          <w:rPr>
            <w:noProof/>
            <w:webHidden/>
          </w:rPr>
        </w:r>
        <w:r w:rsidR="001E5813">
          <w:rPr>
            <w:noProof/>
            <w:webHidden/>
          </w:rPr>
          <w:fldChar w:fldCharType="separate"/>
        </w:r>
        <w:r w:rsidR="001E5813">
          <w:rPr>
            <w:noProof/>
            <w:webHidden/>
          </w:rPr>
          <w:t>22</w:t>
        </w:r>
        <w:r w:rsidR="001E5813">
          <w:rPr>
            <w:noProof/>
            <w:webHidden/>
          </w:rPr>
          <w:fldChar w:fldCharType="end"/>
        </w:r>
      </w:hyperlink>
    </w:p>
    <w:p w14:paraId="13ECD55D" w14:textId="477F2AE0" w:rsidR="001E5813" w:rsidRDefault="00BA5436">
      <w:pPr>
        <w:pStyle w:val="INNH1"/>
        <w:rPr>
          <w:rFonts w:eastAsiaTheme="minorEastAsia"/>
          <w:b w:val="0"/>
          <w:noProof/>
          <w:sz w:val="22"/>
          <w:lang w:eastAsia="nb-NO"/>
        </w:rPr>
      </w:pPr>
      <w:hyperlink w:anchor="_Toc103066738" w:history="1">
        <w:r w:rsidR="001E5813" w:rsidRPr="00230E6A">
          <w:rPr>
            <w:rStyle w:val="Hyperkobling"/>
            <w:noProof/>
          </w:rPr>
          <w:t>4.</w:t>
        </w:r>
        <w:r w:rsidR="001E5813">
          <w:rPr>
            <w:rFonts w:eastAsiaTheme="minorEastAsia"/>
            <w:b w:val="0"/>
            <w:noProof/>
            <w:sz w:val="22"/>
            <w:lang w:eastAsia="nb-NO"/>
          </w:rPr>
          <w:tab/>
        </w:r>
        <w:r w:rsidR="001E5813" w:rsidRPr="00230E6A">
          <w:rPr>
            <w:rStyle w:val="Hyperkobling"/>
            <w:noProof/>
          </w:rPr>
          <w:t>Internasjonal økonomi og energi</w:t>
        </w:r>
        <w:r w:rsidR="001E5813">
          <w:rPr>
            <w:noProof/>
            <w:webHidden/>
          </w:rPr>
          <w:tab/>
        </w:r>
        <w:r w:rsidR="001E5813">
          <w:rPr>
            <w:noProof/>
            <w:webHidden/>
          </w:rPr>
          <w:fldChar w:fldCharType="begin"/>
        </w:r>
        <w:r w:rsidR="001E5813">
          <w:rPr>
            <w:noProof/>
            <w:webHidden/>
          </w:rPr>
          <w:instrText xml:space="preserve"> PAGEREF _Toc103066738 \h </w:instrText>
        </w:r>
        <w:r w:rsidR="001E5813">
          <w:rPr>
            <w:noProof/>
            <w:webHidden/>
          </w:rPr>
        </w:r>
        <w:r w:rsidR="001E5813">
          <w:rPr>
            <w:noProof/>
            <w:webHidden/>
          </w:rPr>
          <w:fldChar w:fldCharType="separate"/>
        </w:r>
        <w:r w:rsidR="001E5813">
          <w:rPr>
            <w:noProof/>
            <w:webHidden/>
          </w:rPr>
          <w:t>27</w:t>
        </w:r>
        <w:r w:rsidR="001E5813">
          <w:rPr>
            <w:noProof/>
            <w:webHidden/>
          </w:rPr>
          <w:fldChar w:fldCharType="end"/>
        </w:r>
      </w:hyperlink>
    </w:p>
    <w:p w14:paraId="7FC21245" w14:textId="3F9DFE3E" w:rsidR="001E5813" w:rsidRDefault="00BA5436">
      <w:pPr>
        <w:pStyle w:val="INNH2"/>
        <w:tabs>
          <w:tab w:val="left" w:pos="2268"/>
          <w:tab w:val="right" w:pos="8494"/>
        </w:tabs>
        <w:rPr>
          <w:rFonts w:eastAsiaTheme="minorEastAsia"/>
          <w:noProof/>
          <w:sz w:val="22"/>
          <w:lang w:eastAsia="nb-NO"/>
        </w:rPr>
      </w:pPr>
      <w:hyperlink w:anchor="_Toc103066739" w:history="1">
        <w:r w:rsidR="001E5813" w:rsidRPr="00230E6A">
          <w:rPr>
            <w:rStyle w:val="Hyperkobling"/>
            <w:noProof/>
          </w:rPr>
          <w:t>4.1</w:t>
        </w:r>
        <w:r w:rsidR="001E5813">
          <w:rPr>
            <w:rFonts w:eastAsiaTheme="minorEastAsia"/>
            <w:noProof/>
            <w:sz w:val="22"/>
            <w:lang w:eastAsia="nb-NO"/>
          </w:rPr>
          <w:tab/>
        </w:r>
        <w:r w:rsidR="001E5813" w:rsidRPr="00230E6A">
          <w:rPr>
            <w:rStyle w:val="Hyperkobling"/>
            <w:noProof/>
          </w:rPr>
          <w:t>Internasjonal økonomi</w:t>
        </w:r>
        <w:r w:rsidR="001E5813">
          <w:rPr>
            <w:noProof/>
            <w:webHidden/>
          </w:rPr>
          <w:tab/>
        </w:r>
        <w:r w:rsidR="001E5813">
          <w:rPr>
            <w:noProof/>
            <w:webHidden/>
          </w:rPr>
          <w:fldChar w:fldCharType="begin"/>
        </w:r>
        <w:r w:rsidR="001E5813">
          <w:rPr>
            <w:noProof/>
            <w:webHidden/>
          </w:rPr>
          <w:instrText xml:space="preserve"> PAGEREF _Toc103066739 \h </w:instrText>
        </w:r>
        <w:r w:rsidR="001E5813">
          <w:rPr>
            <w:noProof/>
            <w:webHidden/>
          </w:rPr>
        </w:r>
        <w:r w:rsidR="001E5813">
          <w:rPr>
            <w:noProof/>
            <w:webHidden/>
          </w:rPr>
          <w:fldChar w:fldCharType="separate"/>
        </w:r>
        <w:r w:rsidR="001E5813">
          <w:rPr>
            <w:noProof/>
            <w:webHidden/>
          </w:rPr>
          <w:t>27</w:t>
        </w:r>
        <w:r w:rsidR="001E5813">
          <w:rPr>
            <w:noProof/>
            <w:webHidden/>
          </w:rPr>
          <w:fldChar w:fldCharType="end"/>
        </w:r>
      </w:hyperlink>
    </w:p>
    <w:p w14:paraId="5343D7D4" w14:textId="4488F12A" w:rsidR="001E5813" w:rsidRDefault="00BA5436">
      <w:pPr>
        <w:pStyle w:val="INNH2"/>
        <w:tabs>
          <w:tab w:val="left" w:pos="2268"/>
          <w:tab w:val="right" w:pos="8494"/>
        </w:tabs>
        <w:rPr>
          <w:rFonts w:eastAsiaTheme="minorEastAsia"/>
          <w:noProof/>
          <w:sz w:val="22"/>
          <w:lang w:eastAsia="nb-NO"/>
        </w:rPr>
      </w:pPr>
      <w:hyperlink w:anchor="_Toc103066740" w:history="1">
        <w:r w:rsidR="001E5813" w:rsidRPr="00230E6A">
          <w:rPr>
            <w:rStyle w:val="Hyperkobling"/>
            <w:noProof/>
          </w:rPr>
          <w:t>4.2</w:t>
        </w:r>
        <w:r w:rsidR="001E5813">
          <w:rPr>
            <w:rFonts w:eastAsiaTheme="minorEastAsia"/>
            <w:noProof/>
            <w:sz w:val="22"/>
            <w:lang w:eastAsia="nb-NO"/>
          </w:rPr>
          <w:tab/>
        </w:r>
        <w:r w:rsidR="001E5813" w:rsidRPr="00230E6A">
          <w:rPr>
            <w:rStyle w:val="Hyperkobling"/>
            <w:noProof/>
          </w:rPr>
          <w:t>Globale energimarkeder og oljemarkedet</w:t>
        </w:r>
        <w:r w:rsidR="001E5813">
          <w:rPr>
            <w:noProof/>
            <w:webHidden/>
          </w:rPr>
          <w:tab/>
        </w:r>
        <w:r w:rsidR="001E5813">
          <w:rPr>
            <w:noProof/>
            <w:webHidden/>
          </w:rPr>
          <w:fldChar w:fldCharType="begin"/>
        </w:r>
        <w:r w:rsidR="001E5813">
          <w:rPr>
            <w:noProof/>
            <w:webHidden/>
          </w:rPr>
          <w:instrText xml:space="preserve"> PAGEREF _Toc103066740 \h </w:instrText>
        </w:r>
        <w:r w:rsidR="001E5813">
          <w:rPr>
            <w:noProof/>
            <w:webHidden/>
          </w:rPr>
        </w:r>
        <w:r w:rsidR="001E5813">
          <w:rPr>
            <w:noProof/>
            <w:webHidden/>
          </w:rPr>
          <w:fldChar w:fldCharType="separate"/>
        </w:r>
        <w:r w:rsidR="001E5813">
          <w:rPr>
            <w:noProof/>
            <w:webHidden/>
          </w:rPr>
          <w:t>28</w:t>
        </w:r>
        <w:r w:rsidR="001E5813">
          <w:rPr>
            <w:noProof/>
            <w:webHidden/>
          </w:rPr>
          <w:fldChar w:fldCharType="end"/>
        </w:r>
      </w:hyperlink>
    </w:p>
    <w:p w14:paraId="6CBBB61B" w14:textId="26B0D240" w:rsidR="001E5813" w:rsidRDefault="00BA5436">
      <w:pPr>
        <w:pStyle w:val="INNH1"/>
        <w:rPr>
          <w:rFonts w:eastAsiaTheme="minorEastAsia"/>
          <w:b w:val="0"/>
          <w:noProof/>
          <w:sz w:val="22"/>
          <w:lang w:eastAsia="nb-NO"/>
        </w:rPr>
      </w:pPr>
      <w:hyperlink w:anchor="_Toc103066741" w:history="1">
        <w:r w:rsidR="001E5813" w:rsidRPr="00230E6A">
          <w:rPr>
            <w:rStyle w:val="Hyperkobling"/>
            <w:noProof/>
          </w:rPr>
          <w:t>5.</w:t>
        </w:r>
        <w:r w:rsidR="001E5813">
          <w:rPr>
            <w:rFonts w:eastAsiaTheme="minorEastAsia"/>
            <w:b w:val="0"/>
            <w:noProof/>
            <w:sz w:val="22"/>
            <w:lang w:eastAsia="nb-NO"/>
          </w:rPr>
          <w:tab/>
        </w:r>
        <w:r w:rsidR="001E5813" w:rsidRPr="00230E6A">
          <w:rPr>
            <w:rStyle w:val="Hyperkobling"/>
            <w:noProof/>
          </w:rPr>
          <w:t>Boligmarkedet og husholdningenes gjeldsbelastning</w:t>
        </w:r>
        <w:r w:rsidR="001E5813">
          <w:rPr>
            <w:noProof/>
            <w:webHidden/>
          </w:rPr>
          <w:tab/>
        </w:r>
        <w:r w:rsidR="001E5813">
          <w:rPr>
            <w:noProof/>
            <w:webHidden/>
          </w:rPr>
          <w:fldChar w:fldCharType="begin"/>
        </w:r>
        <w:r w:rsidR="001E5813">
          <w:rPr>
            <w:noProof/>
            <w:webHidden/>
          </w:rPr>
          <w:instrText xml:space="preserve"> PAGEREF _Toc103066741 \h </w:instrText>
        </w:r>
        <w:r w:rsidR="001E5813">
          <w:rPr>
            <w:noProof/>
            <w:webHidden/>
          </w:rPr>
        </w:r>
        <w:r w:rsidR="001E5813">
          <w:rPr>
            <w:noProof/>
            <w:webHidden/>
          </w:rPr>
          <w:fldChar w:fldCharType="separate"/>
        </w:r>
        <w:r w:rsidR="001E5813">
          <w:rPr>
            <w:noProof/>
            <w:webHidden/>
          </w:rPr>
          <w:t>30</w:t>
        </w:r>
        <w:r w:rsidR="001E5813">
          <w:rPr>
            <w:noProof/>
            <w:webHidden/>
          </w:rPr>
          <w:fldChar w:fldCharType="end"/>
        </w:r>
      </w:hyperlink>
    </w:p>
    <w:p w14:paraId="78461EB2" w14:textId="6AD9FEF7" w:rsidR="001E5813" w:rsidRDefault="00BA5436">
      <w:pPr>
        <w:pStyle w:val="INNH2"/>
        <w:tabs>
          <w:tab w:val="left" w:pos="2268"/>
          <w:tab w:val="right" w:pos="8494"/>
        </w:tabs>
        <w:rPr>
          <w:rFonts w:eastAsiaTheme="minorEastAsia"/>
          <w:noProof/>
          <w:sz w:val="22"/>
          <w:lang w:eastAsia="nb-NO"/>
        </w:rPr>
      </w:pPr>
      <w:hyperlink w:anchor="_Toc103066742" w:history="1">
        <w:r w:rsidR="001E5813" w:rsidRPr="00230E6A">
          <w:rPr>
            <w:rStyle w:val="Hyperkobling"/>
            <w:noProof/>
          </w:rPr>
          <w:t>5.1</w:t>
        </w:r>
        <w:r w:rsidR="001E5813">
          <w:rPr>
            <w:rFonts w:eastAsiaTheme="minorEastAsia"/>
            <w:noProof/>
            <w:sz w:val="22"/>
            <w:lang w:eastAsia="nb-NO"/>
          </w:rPr>
          <w:tab/>
        </w:r>
        <w:r w:rsidR="001E5813" w:rsidRPr="00230E6A">
          <w:rPr>
            <w:rStyle w:val="Hyperkobling"/>
            <w:noProof/>
          </w:rPr>
          <w:t>Boligpriser</w:t>
        </w:r>
        <w:r w:rsidR="001E5813">
          <w:rPr>
            <w:noProof/>
            <w:webHidden/>
          </w:rPr>
          <w:tab/>
        </w:r>
        <w:r w:rsidR="001E5813">
          <w:rPr>
            <w:noProof/>
            <w:webHidden/>
          </w:rPr>
          <w:fldChar w:fldCharType="begin"/>
        </w:r>
        <w:r w:rsidR="001E5813">
          <w:rPr>
            <w:noProof/>
            <w:webHidden/>
          </w:rPr>
          <w:instrText xml:space="preserve"> PAGEREF _Toc103066742 \h </w:instrText>
        </w:r>
        <w:r w:rsidR="001E5813">
          <w:rPr>
            <w:noProof/>
            <w:webHidden/>
          </w:rPr>
        </w:r>
        <w:r w:rsidR="001E5813">
          <w:rPr>
            <w:noProof/>
            <w:webHidden/>
          </w:rPr>
          <w:fldChar w:fldCharType="separate"/>
        </w:r>
        <w:r w:rsidR="001E5813">
          <w:rPr>
            <w:noProof/>
            <w:webHidden/>
          </w:rPr>
          <w:t>30</w:t>
        </w:r>
        <w:r w:rsidR="001E5813">
          <w:rPr>
            <w:noProof/>
            <w:webHidden/>
          </w:rPr>
          <w:fldChar w:fldCharType="end"/>
        </w:r>
      </w:hyperlink>
    </w:p>
    <w:p w14:paraId="35147A4A" w14:textId="72DDC979" w:rsidR="001E5813" w:rsidRDefault="00BA5436">
      <w:pPr>
        <w:pStyle w:val="INNH2"/>
        <w:tabs>
          <w:tab w:val="left" w:pos="2268"/>
          <w:tab w:val="right" w:pos="8494"/>
        </w:tabs>
        <w:rPr>
          <w:rFonts w:eastAsiaTheme="minorEastAsia"/>
          <w:noProof/>
          <w:sz w:val="22"/>
          <w:lang w:eastAsia="nb-NO"/>
        </w:rPr>
      </w:pPr>
      <w:hyperlink w:anchor="_Toc103066743" w:history="1">
        <w:r w:rsidR="001E5813" w:rsidRPr="00230E6A">
          <w:rPr>
            <w:rStyle w:val="Hyperkobling"/>
            <w:noProof/>
          </w:rPr>
          <w:t>5.2</w:t>
        </w:r>
        <w:r w:rsidR="001E5813">
          <w:rPr>
            <w:rFonts w:eastAsiaTheme="minorEastAsia"/>
            <w:noProof/>
            <w:sz w:val="22"/>
            <w:lang w:eastAsia="nb-NO"/>
          </w:rPr>
          <w:tab/>
        </w:r>
        <w:r w:rsidR="001E5813" w:rsidRPr="00230E6A">
          <w:rPr>
            <w:rStyle w:val="Hyperkobling"/>
            <w:noProof/>
          </w:rPr>
          <w:t>Husholdningenes gjeldsbelastning</w:t>
        </w:r>
        <w:r w:rsidR="001E5813">
          <w:rPr>
            <w:noProof/>
            <w:webHidden/>
          </w:rPr>
          <w:tab/>
        </w:r>
        <w:r w:rsidR="001E5813">
          <w:rPr>
            <w:noProof/>
            <w:webHidden/>
          </w:rPr>
          <w:fldChar w:fldCharType="begin"/>
        </w:r>
        <w:r w:rsidR="001E5813">
          <w:rPr>
            <w:noProof/>
            <w:webHidden/>
          </w:rPr>
          <w:instrText xml:space="preserve"> PAGEREF _Toc103066743 \h </w:instrText>
        </w:r>
        <w:r w:rsidR="001E5813">
          <w:rPr>
            <w:noProof/>
            <w:webHidden/>
          </w:rPr>
        </w:r>
        <w:r w:rsidR="001E5813">
          <w:rPr>
            <w:noProof/>
            <w:webHidden/>
          </w:rPr>
          <w:fldChar w:fldCharType="separate"/>
        </w:r>
        <w:r w:rsidR="001E5813">
          <w:rPr>
            <w:noProof/>
            <w:webHidden/>
          </w:rPr>
          <w:t>31</w:t>
        </w:r>
        <w:r w:rsidR="001E5813">
          <w:rPr>
            <w:noProof/>
            <w:webHidden/>
          </w:rPr>
          <w:fldChar w:fldCharType="end"/>
        </w:r>
      </w:hyperlink>
    </w:p>
    <w:p w14:paraId="6DA44AD0" w14:textId="4FEC6BEF" w:rsidR="001E5813" w:rsidRDefault="00BA5436">
      <w:pPr>
        <w:pStyle w:val="INNH2"/>
        <w:tabs>
          <w:tab w:val="left" w:pos="2268"/>
          <w:tab w:val="right" w:pos="8494"/>
        </w:tabs>
        <w:rPr>
          <w:rFonts w:eastAsiaTheme="minorEastAsia"/>
          <w:noProof/>
          <w:sz w:val="22"/>
          <w:lang w:eastAsia="nb-NO"/>
        </w:rPr>
      </w:pPr>
      <w:hyperlink w:anchor="_Toc103066744" w:history="1">
        <w:r w:rsidR="001E5813" w:rsidRPr="00230E6A">
          <w:rPr>
            <w:rStyle w:val="Hyperkobling"/>
            <w:noProof/>
          </w:rPr>
          <w:t>5.3</w:t>
        </w:r>
        <w:r w:rsidR="001E5813">
          <w:rPr>
            <w:rFonts w:eastAsiaTheme="minorEastAsia"/>
            <w:noProof/>
            <w:sz w:val="22"/>
            <w:lang w:eastAsia="nb-NO"/>
          </w:rPr>
          <w:tab/>
        </w:r>
        <w:r w:rsidR="001E5813" w:rsidRPr="00230E6A">
          <w:rPr>
            <w:rStyle w:val="Hyperkobling"/>
            <w:noProof/>
          </w:rPr>
          <w:t>Økte boligutgifter</w:t>
        </w:r>
        <w:r w:rsidR="001E5813">
          <w:rPr>
            <w:noProof/>
            <w:webHidden/>
          </w:rPr>
          <w:tab/>
        </w:r>
        <w:r w:rsidR="001E5813">
          <w:rPr>
            <w:noProof/>
            <w:webHidden/>
          </w:rPr>
          <w:fldChar w:fldCharType="begin"/>
        </w:r>
        <w:r w:rsidR="001E5813">
          <w:rPr>
            <w:noProof/>
            <w:webHidden/>
          </w:rPr>
          <w:instrText xml:space="preserve"> PAGEREF _Toc103066744 \h </w:instrText>
        </w:r>
        <w:r w:rsidR="001E5813">
          <w:rPr>
            <w:noProof/>
            <w:webHidden/>
          </w:rPr>
        </w:r>
        <w:r w:rsidR="001E5813">
          <w:rPr>
            <w:noProof/>
            <w:webHidden/>
          </w:rPr>
          <w:fldChar w:fldCharType="separate"/>
        </w:r>
        <w:r w:rsidR="001E5813">
          <w:rPr>
            <w:noProof/>
            <w:webHidden/>
          </w:rPr>
          <w:t>31</w:t>
        </w:r>
        <w:r w:rsidR="001E5813">
          <w:rPr>
            <w:noProof/>
            <w:webHidden/>
          </w:rPr>
          <w:fldChar w:fldCharType="end"/>
        </w:r>
      </w:hyperlink>
    </w:p>
    <w:p w14:paraId="4A076807" w14:textId="7C8E1FD3" w:rsidR="002E0C2B" w:rsidRPr="009D5A02" w:rsidRDefault="00535D93" w:rsidP="009D5A02">
      <w:r>
        <w:fldChar w:fldCharType="end"/>
      </w:r>
    </w:p>
    <w:p w14:paraId="13C56F80" w14:textId="0DB03629" w:rsidR="00C05827" w:rsidRDefault="00535D93">
      <w:pPr>
        <w:spacing w:after="160" w:line="259" w:lineRule="auto"/>
      </w:pPr>
      <w:r>
        <w:br w:type="page"/>
      </w:r>
    </w:p>
    <w:p w14:paraId="3C9F72B8" w14:textId="48D5DBB4" w:rsidR="00E50093" w:rsidRDefault="001E5813" w:rsidP="006A5CB8">
      <w:pPr>
        <w:pStyle w:val="Overskrift1"/>
      </w:pPr>
      <w:r>
        <w:lastRenderedPageBreak/>
        <w:t xml:space="preserve"> </w:t>
      </w:r>
      <w:bookmarkStart w:id="0" w:name="_Toc103066732"/>
      <w:r w:rsidR="00E50093" w:rsidRPr="001E5813">
        <w:t>Betydelig bedring, tidsvindu for inkludering</w:t>
      </w:r>
      <w:bookmarkEnd w:id="0"/>
    </w:p>
    <w:p w14:paraId="52A52CED" w14:textId="77777777" w:rsidR="001E5813" w:rsidRPr="006A5CB8" w:rsidRDefault="001E5813" w:rsidP="006A5CB8">
      <w:pPr>
        <w:pStyle w:val="Listeavsnitt"/>
        <w:rPr>
          <w:b/>
          <w:bCs/>
          <w:sz w:val="36"/>
          <w:szCs w:val="40"/>
        </w:rPr>
      </w:pPr>
    </w:p>
    <w:p w14:paraId="4C00DC01" w14:textId="342FCDBE" w:rsidR="00E50093" w:rsidRPr="006A5CB8" w:rsidRDefault="00E50093" w:rsidP="00E50093">
      <w:pPr>
        <w:shd w:val="clear" w:color="auto" w:fill="FFFFFF"/>
        <w:spacing w:before="240" w:after="120" w:line="240" w:lineRule="auto"/>
        <w:jc w:val="both"/>
        <w:rPr>
          <w:rFonts w:ascii="Open Sans" w:eastAsia="Times New Roman" w:hAnsi="Open Sans" w:cs="Open Sans"/>
          <w:bCs/>
          <w:color w:val="000000"/>
          <w:sz w:val="22"/>
          <w:lang w:eastAsia="nb-NO"/>
        </w:rPr>
      </w:pPr>
      <w:r w:rsidRPr="006A5CB8">
        <w:rPr>
          <w:rFonts w:ascii="Open Sans" w:eastAsia="Times New Roman" w:hAnsi="Open Sans" w:cs="Open Sans"/>
          <w:bCs/>
          <w:color w:val="000000"/>
          <w:sz w:val="22"/>
          <w:lang w:eastAsia="nb-NO"/>
        </w:rPr>
        <w:t xml:space="preserve">Omtrent to år etter den første korona-nedstengingen har </w:t>
      </w:r>
      <w:r w:rsidR="00394DEF" w:rsidRPr="006A5CB8">
        <w:rPr>
          <w:rFonts w:ascii="Open Sans" w:eastAsia="Times New Roman" w:hAnsi="Open Sans" w:cs="Open Sans"/>
          <w:bCs/>
          <w:color w:val="000000"/>
          <w:sz w:val="22"/>
          <w:lang w:eastAsia="nb-NO"/>
        </w:rPr>
        <w:t>norsk økonomi</w:t>
      </w:r>
      <w:r w:rsidRPr="006A5CB8">
        <w:rPr>
          <w:rFonts w:ascii="Open Sans" w:eastAsia="Times New Roman" w:hAnsi="Open Sans" w:cs="Open Sans"/>
          <w:bCs/>
          <w:color w:val="000000"/>
          <w:sz w:val="22"/>
          <w:lang w:eastAsia="nb-NO"/>
        </w:rPr>
        <w:t xml:space="preserve"> langt på vei hentet seg inn igjen. Andelen sysselsatte er nå høyere og andelen arbeidssøkere</w:t>
      </w:r>
      <w:r w:rsidRPr="006A5CB8">
        <w:rPr>
          <w:rFonts w:ascii="Open Sans" w:eastAsia="Times New Roman" w:hAnsi="Open Sans" w:cs="Open Sans"/>
          <w:bCs/>
          <w:color w:val="000000"/>
          <w:sz w:val="22"/>
          <w:vertAlign w:val="superscript"/>
          <w:lang w:eastAsia="nb-NO"/>
        </w:rPr>
        <w:footnoteReference w:id="2"/>
      </w:r>
      <w:r w:rsidRPr="006A5CB8">
        <w:rPr>
          <w:rFonts w:ascii="Open Sans" w:eastAsia="Times New Roman" w:hAnsi="Open Sans" w:cs="Open Sans"/>
          <w:bCs/>
          <w:color w:val="000000"/>
          <w:sz w:val="22"/>
          <w:lang w:eastAsia="nb-NO"/>
        </w:rPr>
        <w:t xml:space="preserve"> noe lavere, sammenlignet med før pandemien. Sterk vekst i tjenestenæringene og lav arbeidsinnvandring ser ut til å ha åpnet opp muligheter på arbeidsmarkedet for </w:t>
      </w:r>
      <w:r w:rsidR="0062270F" w:rsidRPr="006A5CB8">
        <w:rPr>
          <w:rFonts w:ascii="Open Sans" w:eastAsia="Times New Roman" w:hAnsi="Open Sans" w:cs="Open Sans"/>
          <w:bCs/>
          <w:color w:val="000000"/>
          <w:sz w:val="22"/>
          <w:lang w:eastAsia="nb-NO"/>
        </w:rPr>
        <w:t>de som har slitt med å få fotfeste i arbeids</w:t>
      </w:r>
      <w:r w:rsidR="007351BC" w:rsidRPr="006A5CB8">
        <w:rPr>
          <w:rFonts w:ascii="Open Sans" w:eastAsia="Times New Roman" w:hAnsi="Open Sans" w:cs="Open Sans"/>
          <w:bCs/>
          <w:color w:val="000000"/>
          <w:sz w:val="22"/>
          <w:lang w:eastAsia="nb-NO"/>
        </w:rPr>
        <w:t>livet, dette gjelder ikke minst mange</w:t>
      </w:r>
      <w:r w:rsidRPr="006A5CB8">
        <w:rPr>
          <w:rFonts w:ascii="Open Sans" w:eastAsia="Times New Roman" w:hAnsi="Open Sans" w:cs="Open Sans"/>
          <w:bCs/>
          <w:color w:val="000000"/>
          <w:sz w:val="22"/>
          <w:lang w:eastAsia="nb-NO"/>
        </w:rPr>
        <w:t xml:space="preserve"> bosatte innvandrere og unge.</w:t>
      </w:r>
    </w:p>
    <w:p w14:paraId="5804E010" w14:textId="19C1957C" w:rsidR="00E50093" w:rsidRPr="006A5CB8" w:rsidRDefault="00E50093" w:rsidP="00E50093">
      <w:pPr>
        <w:shd w:val="clear" w:color="auto" w:fill="FFFFFF"/>
        <w:spacing w:before="240" w:after="120" w:line="240" w:lineRule="auto"/>
        <w:jc w:val="both"/>
        <w:rPr>
          <w:rFonts w:ascii="Open Sans" w:eastAsia="Times New Roman" w:hAnsi="Open Sans" w:cs="Open Sans"/>
          <w:bCs/>
          <w:color w:val="000000"/>
          <w:sz w:val="22"/>
          <w:lang w:eastAsia="nb-NO"/>
        </w:rPr>
      </w:pPr>
      <w:r w:rsidRPr="006A5CB8">
        <w:rPr>
          <w:rFonts w:ascii="Open Sans" w:eastAsia="Times New Roman" w:hAnsi="Open Sans" w:cs="Open Sans"/>
          <w:bCs/>
          <w:color w:val="000000"/>
          <w:sz w:val="22"/>
          <w:lang w:eastAsia="nb-NO"/>
        </w:rPr>
        <w:t>Tross bedringen har vi fortsatt 58 500 langtidsarbeidssøkere</w:t>
      </w:r>
      <w:r w:rsidRPr="006A5CB8">
        <w:rPr>
          <w:rFonts w:ascii="Open Sans" w:eastAsia="Times New Roman" w:hAnsi="Open Sans" w:cs="Open Sans"/>
          <w:bCs/>
          <w:color w:val="000000"/>
          <w:sz w:val="22"/>
          <w:vertAlign w:val="superscript"/>
          <w:lang w:eastAsia="nb-NO"/>
        </w:rPr>
        <w:footnoteReference w:id="3"/>
      </w:r>
      <w:r w:rsidRPr="006A5CB8">
        <w:rPr>
          <w:rFonts w:ascii="Open Sans" w:eastAsia="Times New Roman" w:hAnsi="Open Sans" w:cs="Open Sans"/>
          <w:bCs/>
          <w:color w:val="000000"/>
          <w:sz w:val="22"/>
          <w:lang w:eastAsia="nb-NO"/>
        </w:rPr>
        <w:t xml:space="preserve">, hvorav 21 600 har vært helt arbeidsløse over ett år. Antallet registrert med nedsatt arbeidsevne hos NAV er 10 pst. høyere enn før pandemien, og utgjør nå 200 800 hvorav 44 600 er under 30 år. </w:t>
      </w:r>
    </w:p>
    <w:p w14:paraId="4E14AD83" w14:textId="10E0F547" w:rsidR="00E50093" w:rsidRPr="006A5CB8" w:rsidRDefault="00E50093" w:rsidP="00E50093">
      <w:pPr>
        <w:shd w:val="clear" w:color="auto" w:fill="FFFFFF"/>
        <w:spacing w:before="240" w:after="120" w:line="240" w:lineRule="auto"/>
        <w:jc w:val="both"/>
        <w:rPr>
          <w:rFonts w:ascii="Open Sans" w:eastAsia="Times New Roman" w:hAnsi="Open Sans" w:cs="Open Sans"/>
          <w:bCs/>
          <w:color w:val="000000"/>
          <w:sz w:val="22"/>
          <w:lang w:eastAsia="nb-NO"/>
        </w:rPr>
      </w:pPr>
      <w:r w:rsidRPr="006A5CB8">
        <w:rPr>
          <w:rFonts w:ascii="Open Sans" w:eastAsia="Times New Roman" w:hAnsi="Open Sans" w:cs="Open Sans"/>
          <w:bCs/>
          <w:color w:val="000000"/>
          <w:sz w:val="22"/>
          <w:lang w:eastAsia="nb-NO"/>
        </w:rPr>
        <w:t xml:space="preserve">For en del av disse skal det ikke så mye til av tilrettelegging og støtte for å få en fot innenfor og komme inn i en god sirkel. Men det er også mange av dem som har gått lenge i passivitet og som kan ha komplekse og sammensatte utfordringer, </w:t>
      </w:r>
      <w:r w:rsidR="00B23765" w:rsidRPr="006A5CB8">
        <w:rPr>
          <w:rFonts w:ascii="Open Sans" w:eastAsia="Times New Roman" w:hAnsi="Open Sans" w:cs="Open Sans"/>
          <w:bCs/>
          <w:color w:val="000000"/>
          <w:sz w:val="22"/>
          <w:lang w:eastAsia="nb-NO"/>
        </w:rPr>
        <w:t xml:space="preserve">og </w:t>
      </w:r>
      <w:r w:rsidRPr="006A5CB8">
        <w:rPr>
          <w:rFonts w:ascii="Open Sans" w:eastAsia="Times New Roman" w:hAnsi="Open Sans" w:cs="Open Sans"/>
          <w:bCs/>
          <w:color w:val="000000"/>
          <w:sz w:val="22"/>
          <w:lang w:eastAsia="nb-NO"/>
        </w:rPr>
        <w:t xml:space="preserve">som trenger tett oppfølging over tid for at jobbtilknytningen skal bli vellykket og varig. </w:t>
      </w:r>
    </w:p>
    <w:p w14:paraId="3984F45D" w14:textId="676CFF25" w:rsidR="00E50093" w:rsidRPr="006A5CB8" w:rsidRDefault="00E50093" w:rsidP="00E50093">
      <w:pPr>
        <w:shd w:val="clear" w:color="auto" w:fill="FFFFFF"/>
        <w:spacing w:before="240" w:after="120" w:line="240" w:lineRule="auto"/>
        <w:jc w:val="both"/>
        <w:rPr>
          <w:rFonts w:ascii="Open Sans" w:eastAsia="Times New Roman" w:hAnsi="Open Sans" w:cs="Open Sans"/>
          <w:bCs/>
          <w:color w:val="000000"/>
          <w:sz w:val="22"/>
          <w:lang w:eastAsia="nb-NO"/>
        </w:rPr>
      </w:pPr>
      <w:r w:rsidRPr="006A5CB8">
        <w:rPr>
          <w:rFonts w:ascii="Open Sans" w:eastAsia="Times New Roman" w:hAnsi="Open Sans" w:cs="Open Sans"/>
          <w:bCs/>
          <w:color w:val="000000"/>
          <w:sz w:val="22"/>
          <w:lang w:eastAsia="nb-NO"/>
        </w:rPr>
        <w:t xml:space="preserve">Hvis vi ikke benytter tidsvinduet vi nå har til å få flere inkludert, kan utenforskapet lett fortsette og øke. Hvorvidt oppgangen i økonomien vil hjelpe flere inn i arbeid avhenger </w:t>
      </w:r>
      <w:r w:rsidR="001816A6" w:rsidRPr="006A5CB8">
        <w:rPr>
          <w:rFonts w:ascii="Open Sans" w:eastAsia="Times New Roman" w:hAnsi="Open Sans" w:cs="Open Sans"/>
          <w:bCs/>
          <w:color w:val="000000"/>
          <w:sz w:val="22"/>
          <w:lang w:eastAsia="nb-NO"/>
        </w:rPr>
        <w:t xml:space="preserve">av </w:t>
      </w:r>
      <w:r w:rsidR="00933C7F" w:rsidRPr="006A5CB8">
        <w:rPr>
          <w:rFonts w:ascii="Open Sans" w:eastAsia="Times New Roman" w:hAnsi="Open Sans" w:cs="Open Sans"/>
          <w:bCs/>
          <w:color w:val="000000"/>
          <w:sz w:val="22"/>
          <w:lang w:eastAsia="nb-NO"/>
        </w:rPr>
        <w:t>at den økonomiske politikken</w:t>
      </w:r>
      <w:r w:rsidR="00F54661" w:rsidRPr="006A5CB8">
        <w:rPr>
          <w:rFonts w:ascii="Open Sans" w:eastAsia="Times New Roman" w:hAnsi="Open Sans" w:cs="Open Sans"/>
          <w:bCs/>
          <w:color w:val="000000"/>
          <w:sz w:val="22"/>
          <w:lang w:eastAsia="nb-NO"/>
        </w:rPr>
        <w:t xml:space="preserve"> </w:t>
      </w:r>
      <w:r w:rsidR="007F4A14" w:rsidRPr="006A5CB8">
        <w:rPr>
          <w:rFonts w:ascii="Open Sans" w:eastAsia="Times New Roman" w:hAnsi="Open Sans" w:cs="Open Sans"/>
          <w:bCs/>
          <w:color w:val="000000"/>
          <w:sz w:val="22"/>
          <w:lang w:eastAsia="nb-NO"/>
        </w:rPr>
        <w:t>ikke strammes for kraftig inn</w:t>
      </w:r>
      <w:r w:rsidR="00D02C84" w:rsidRPr="006A5CB8">
        <w:rPr>
          <w:rFonts w:ascii="Open Sans" w:eastAsia="Times New Roman" w:hAnsi="Open Sans" w:cs="Open Sans"/>
          <w:bCs/>
          <w:color w:val="000000"/>
          <w:sz w:val="22"/>
          <w:lang w:eastAsia="nb-NO"/>
        </w:rPr>
        <w:t xml:space="preserve"> og</w:t>
      </w:r>
      <w:r w:rsidRPr="006A5CB8">
        <w:rPr>
          <w:rFonts w:ascii="Open Sans" w:eastAsia="Times New Roman" w:hAnsi="Open Sans" w:cs="Open Sans"/>
          <w:bCs/>
          <w:color w:val="000000"/>
          <w:sz w:val="22"/>
          <w:lang w:eastAsia="nb-NO"/>
        </w:rPr>
        <w:t xml:space="preserve"> at det føres en tilstrekkelig aktiv arbeidsmarkeds- og kompetansepolitikk. Vi har også gode muligheter til å få til «sosial dumping i revers» i enkeltnæringer der lønns- og arbeidsvilkår gjennom flere år har vært under press. På sikt vil også det bidra til et mer inkluderende arbeidsliv.</w:t>
      </w:r>
    </w:p>
    <w:p w14:paraId="1099D4B4" w14:textId="11DD8C38" w:rsidR="00851C40" w:rsidRPr="006A5CB8" w:rsidRDefault="00851C40" w:rsidP="00851C40">
      <w:pPr>
        <w:rPr>
          <w:sz w:val="22"/>
          <w:szCs w:val="24"/>
        </w:rPr>
      </w:pPr>
      <w:r w:rsidRPr="006A5CB8">
        <w:rPr>
          <w:sz w:val="22"/>
          <w:szCs w:val="24"/>
        </w:rPr>
        <w:t>Frontfagsmodellen er kjernen i den vellykkete norske samfunnsmodellen og må ses som en integrert del i den økonomiske politikken. Den hindrer at press i økonomien gir høy lønns- og prisvekst. Da kan press heller brukes til å oppnå full sysselsetting. Forutsetningene for at fagforeningene ønsker å samordne lønnsdannelsen på en slik måte, er at statsbudsjettet brukes for full sysselsetting. Vi kan derfor si at frontfagsmodellen både forutsetter og muliggjør full sysselsetting og lav ledighet.</w:t>
      </w:r>
    </w:p>
    <w:p w14:paraId="23177E90" w14:textId="1BA0CDD8" w:rsidR="00851C40" w:rsidRPr="006A5CB8" w:rsidRDefault="00851C40" w:rsidP="00851C40">
      <w:pPr>
        <w:rPr>
          <w:sz w:val="22"/>
          <w:szCs w:val="24"/>
        </w:rPr>
      </w:pPr>
      <w:r w:rsidRPr="006A5CB8">
        <w:rPr>
          <w:sz w:val="22"/>
          <w:szCs w:val="24"/>
        </w:rPr>
        <w:lastRenderedPageBreak/>
        <w:t>Sysselsettingsutvalget sa det slik: «Inntektspolitikk og koordinert lønnsfastsettelse fører til at arbeidsmarkedet tåler et høyere sysselsettingsnivå uten at lønnsveksten blir for høy» (NOU 2021:2, s. 26).</w:t>
      </w:r>
    </w:p>
    <w:p w14:paraId="77C5ABD7" w14:textId="48431CC2" w:rsidR="00851C40" w:rsidRPr="006A5CB8" w:rsidRDefault="00851C40" w:rsidP="00851C40">
      <w:pPr>
        <w:rPr>
          <w:sz w:val="22"/>
          <w:szCs w:val="24"/>
        </w:rPr>
      </w:pPr>
      <w:r w:rsidRPr="006A5CB8">
        <w:rPr>
          <w:sz w:val="22"/>
          <w:szCs w:val="24"/>
        </w:rPr>
        <w:t xml:space="preserve">Hadde vi ikke hatt frontfagsmodellen, så hadde vi altså opplevd høyere lønns- og prisvekst enn det næringslivet kunne bære. Da måtte myndighetene ha redusert sysselsettingen og økt arbeidsledigheten gjennom høyere renter og innstramminger i statsbudsjettet. Det slipper vi i Norge inntil arbeidsledigheten er veldig lav og det rett og slett er mangel på arbeidskraft og andre flaskehalser i økonomien generelt. </w:t>
      </w:r>
    </w:p>
    <w:p w14:paraId="55EA8894" w14:textId="46CC465C" w:rsidR="00851C40" w:rsidRPr="006A5CB8" w:rsidRDefault="00851C40" w:rsidP="00851C40">
      <w:pPr>
        <w:rPr>
          <w:sz w:val="22"/>
          <w:szCs w:val="24"/>
        </w:rPr>
      </w:pPr>
      <w:r w:rsidRPr="006A5CB8">
        <w:rPr>
          <w:sz w:val="22"/>
          <w:szCs w:val="24"/>
        </w:rPr>
        <w:t>Utviklingen taler for en forsiktig avvikling av krisenivåene på statsbudsjettets underskudd og på renta, men for sterk innstramming vil kvele oppgangen og videre inkludering.</w:t>
      </w:r>
      <w:r w:rsidR="006B09AA">
        <w:rPr>
          <w:sz w:val="22"/>
          <w:szCs w:val="24"/>
        </w:rPr>
        <w:t xml:space="preserve"> </w:t>
      </w:r>
      <w:r w:rsidRPr="006A5CB8">
        <w:rPr>
          <w:sz w:val="22"/>
          <w:szCs w:val="24"/>
        </w:rPr>
        <w:t xml:space="preserve">Prisveksten vi opplever nå kommer ikke fra sterkt press i norsk økonomi. Den kommer fra utenlandske forhold. Tvert om har prisveksten bremset oppgangen i økonomien ved å trekke inn kjøpekraft fra husholdningene og øke kostnadene for bedriftene. Om pris- og kostnadsveksten er så høy at den økonomiske veksten stopper helt opp, er for tidlig å si. Prognosene våre tyder på at norsk økonomi likevel vil klare å opprettholde den positive utviklingen. </w:t>
      </w:r>
    </w:p>
    <w:p w14:paraId="3C0FFA7B" w14:textId="589EC888" w:rsidR="00851C40" w:rsidRPr="006A5CB8" w:rsidRDefault="00851C40" w:rsidP="00851C40">
      <w:pPr>
        <w:rPr>
          <w:sz w:val="22"/>
          <w:szCs w:val="24"/>
        </w:rPr>
      </w:pPr>
      <w:r w:rsidRPr="006A5CB8">
        <w:rPr>
          <w:sz w:val="22"/>
          <w:szCs w:val="24"/>
        </w:rPr>
        <w:t xml:space="preserve">At man i den norske lønnsdannelsen krever </w:t>
      </w:r>
      <w:proofErr w:type="spellStart"/>
      <w:r w:rsidRPr="006A5CB8">
        <w:rPr>
          <w:sz w:val="22"/>
          <w:szCs w:val="24"/>
        </w:rPr>
        <w:t>kjøpekraftsvekst</w:t>
      </w:r>
      <w:proofErr w:type="spellEnd"/>
      <w:r w:rsidRPr="006A5CB8">
        <w:rPr>
          <w:sz w:val="22"/>
          <w:szCs w:val="24"/>
        </w:rPr>
        <w:t xml:space="preserve"> i en oppgangskonjunktur, og dermed kompensasjon for høy prisvekst fra utenlandske forhold, er en selvfølge og forutsetning for den koordinerte lønnsdannelsen. Samtidig blir det lagt vekt på en rekke andre forhold i lønnsforhandlingene. Det innebærer at lønnsoppgjøret i frontfaget i år tok hensyn til at bedriftenes kostnader har økt og at pris- og kostnadsveksten har bremset oppgangen i økonomien. Lønnsoppgjøret er derfor i tråd med hva bedriftene og økonomien tåler, selv med den økte prisveksten. </w:t>
      </w:r>
    </w:p>
    <w:p w14:paraId="6AB73F49" w14:textId="3716A185" w:rsidR="00851C40" w:rsidRPr="006A5CB8" w:rsidRDefault="00851C40" w:rsidP="00851C40">
      <w:pPr>
        <w:rPr>
          <w:sz w:val="22"/>
          <w:szCs w:val="24"/>
        </w:rPr>
      </w:pPr>
      <w:r w:rsidRPr="006A5CB8">
        <w:rPr>
          <w:sz w:val="22"/>
          <w:szCs w:val="24"/>
        </w:rPr>
        <w:t xml:space="preserve">For rentesettingen innebærer det å ikke motvirke den pris- og lønnsveksten vi opplever nå. Renteutviklingen bør tilpasses realøkonomien og arbeidsmarkedet. Bedre utsikter her tilsier da en forsiktig renteoppgang, men ikke like kraftig som man trodde tidligere. </w:t>
      </w:r>
    </w:p>
    <w:p w14:paraId="1303C736" w14:textId="77777777" w:rsidR="00851C40" w:rsidRPr="006A5CB8" w:rsidRDefault="00851C40" w:rsidP="00851C40">
      <w:pPr>
        <w:rPr>
          <w:rFonts w:cstheme="minorHAnsi"/>
          <w:sz w:val="22"/>
        </w:rPr>
      </w:pPr>
      <w:r w:rsidRPr="006A5CB8">
        <w:rPr>
          <w:sz w:val="22"/>
          <w:szCs w:val="24"/>
        </w:rPr>
        <w:t xml:space="preserve">For statsbudsjettet innebærer det også at innstrammingene bør bli svakere enn ellers. Kostnadsveksten har gjort jobben isteden. Utviklingen i arbeidsmarkedet og i økonomien </w:t>
      </w:r>
      <w:r w:rsidRPr="006A5CB8">
        <w:rPr>
          <w:rFonts w:cstheme="minorHAnsi"/>
          <w:sz w:val="22"/>
        </w:rPr>
        <w:t xml:space="preserve">må også her avgjøre om det fortsatt vil være et innstrammingsbehov. </w:t>
      </w:r>
    </w:p>
    <w:p w14:paraId="1AD443AF" w14:textId="77777777" w:rsidR="0011464D" w:rsidRDefault="0011464D" w:rsidP="00851C40"/>
    <w:p w14:paraId="01F0A474" w14:textId="5FD66BCF" w:rsidR="00CD67E2" w:rsidRDefault="00CD67E2">
      <w:pPr>
        <w:spacing w:after="160" w:line="259" w:lineRule="auto"/>
      </w:pPr>
      <w:r>
        <w:br w:type="page"/>
      </w:r>
    </w:p>
    <w:p w14:paraId="3FF2CBC0" w14:textId="1A9EAE38" w:rsidR="00CD67E2" w:rsidRPr="00CD67E2" w:rsidRDefault="00CD67E2" w:rsidP="00CD67E2">
      <w:r>
        <w:rPr>
          <w:noProof/>
        </w:rPr>
        <w:lastRenderedPageBreak/>
        <mc:AlternateContent>
          <mc:Choice Requires="wps">
            <w:drawing>
              <wp:anchor distT="0" distB="0" distL="114300" distR="114300" simplePos="0" relativeHeight="251658246" behindDoc="0" locked="0" layoutInCell="1" allowOverlap="1" wp14:anchorId="548E639F" wp14:editId="4F724DDE">
                <wp:simplePos x="0" y="0"/>
                <wp:positionH relativeFrom="margin">
                  <wp:posOffset>-256351</wp:posOffset>
                </wp:positionH>
                <wp:positionV relativeFrom="paragraph">
                  <wp:posOffset>-256351</wp:posOffset>
                </wp:positionV>
                <wp:extent cx="6236043" cy="8633254"/>
                <wp:effectExtent l="0" t="0" r="12700" b="15875"/>
                <wp:wrapNone/>
                <wp:docPr id="29" name="Tekstboks 29"/>
                <wp:cNvGraphicFramePr/>
                <a:graphic xmlns:a="http://schemas.openxmlformats.org/drawingml/2006/main">
                  <a:graphicData uri="http://schemas.microsoft.com/office/word/2010/wordprocessingShape">
                    <wps:wsp>
                      <wps:cNvSpPr txBox="1"/>
                      <wps:spPr>
                        <a:xfrm>
                          <a:off x="0" y="0"/>
                          <a:ext cx="6236043" cy="8633254"/>
                        </a:xfrm>
                        <a:prstGeom prst="rect">
                          <a:avLst/>
                        </a:prstGeom>
                        <a:solidFill>
                          <a:sysClr val="window" lastClr="FFFFFF"/>
                        </a:solidFill>
                        <a:ln w="6350">
                          <a:solidFill>
                            <a:prstClr val="black"/>
                          </a:solidFill>
                        </a:ln>
                      </wps:spPr>
                      <wps:txbx>
                        <w:txbxContent>
                          <w:p w14:paraId="07E3F533" w14:textId="7CD83BB0" w:rsidR="00CD67E2" w:rsidRPr="00F41E7B" w:rsidRDefault="00CD67E2" w:rsidP="00CD67E2">
                            <w:pPr>
                              <w:jc w:val="both"/>
                              <w:rPr>
                                <w:rFonts w:ascii="Open Sans" w:hAnsi="Open Sans" w:cs="Open Sans"/>
                                <w:b/>
                                <w:bCs/>
                                <w:szCs w:val="20"/>
                              </w:rPr>
                            </w:pPr>
                            <w:r w:rsidRPr="00CD67E2">
                              <w:rPr>
                                <w:rFonts w:ascii="Open Sans" w:hAnsi="Open Sans" w:cs="Open Sans"/>
                                <w:b/>
                                <w:bCs/>
                                <w:szCs w:val="20"/>
                              </w:rPr>
                              <w:t xml:space="preserve">Boks </w:t>
                            </w:r>
                            <w:r>
                              <w:rPr>
                                <w:rFonts w:ascii="Open Sans" w:hAnsi="Open Sans" w:cs="Open Sans"/>
                                <w:b/>
                                <w:bCs/>
                                <w:szCs w:val="20"/>
                              </w:rPr>
                              <w:t>1</w:t>
                            </w:r>
                            <w:r w:rsidRPr="00E82E4B">
                              <w:rPr>
                                <w:rFonts w:ascii="Open Sans" w:hAnsi="Open Sans" w:cs="Open Sans"/>
                                <w:b/>
                                <w:bCs/>
                                <w:szCs w:val="20"/>
                              </w:rPr>
                              <w:t xml:space="preserve">: </w:t>
                            </w:r>
                            <w:r>
                              <w:rPr>
                                <w:rFonts w:ascii="Open Sans" w:hAnsi="Open Sans" w:cs="Open Sans"/>
                                <w:b/>
                                <w:bCs/>
                                <w:szCs w:val="20"/>
                              </w:rPr>
                              <w:t xml:space="preserve">Den norske modellen muliggjør full sysselsetting gjennom den økonomiske politikken </w:t>
                            </w:r>
                          </w:p>
                          <w:p w14:paraId="4F4264D7" w14:textId="0867279E"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Samfunnsøkonomisk analyse (</w:t>
                            </w:r>
                            <w:r w:rsidR="00875A21">
                              <w:rPr>
                                <w:rFonts w:ascii="Open Sans" w:hAnsi="Open Sans" w:cs="Open Sans"/>
                                <w:sz w:val="16"/>
                                <w:szCs w:val="16"/>
                              </w:rPr>
                              <w:t xml:space="preserve">egen forskningsartikkel og </w:t>
                            </w:r>
                            <w:r w:rsidRPr="00F41E7B">
                              <w:rPr>
                                <w:rFonts w:ascii="Open Sans" w:hAnsi="Open Sans" w:cs="Open Sans"/>
                                <w:sz w:val="16"/>
                                <w:szCs w:val="16"/>
                              </w:rPr>
                              <w:t xml:space="preserve">kommende artikkel i tidsskriftet Samfunnsøkonomen, «Økonomisk politikk og den norske modellen for lønnsdannelse») viser en svært viktig og aktuell egenskap ved norsk økonomi. Egenskapen har betydning for den økonomiske politikken i oppgangstider. Hovedkonklusjonen er at </w:t>
                            </w:r>
                            <w:r w:rsidRPr="00F41E7B">
                              <w:rPr>
                                <w:rFonts w:ascii="Open Sans" w:hAnsi="Open Sans" w:cs="Open Sans"/>
                                <w:b/>
                                <w:bCs/>
                                <w:sz w:val="16"/>
                                <w:szCs w:val="16"/>
                              </w:rPr>
                              <w:t>den koordinerte lønnsdannelsen påvirker sentrale mekanismer i norsk økonomi som muliggjør at finans- og pengepolitikken kan innrettes mot full sysselsetting, uten å resultere i akselererende inflasjon og/eller ukontrollert tap av konkurranseevne</w:t>
                            </w:r>
                            <w:r w:rsidRPr="00F41E7B">
                              <w:rPr>
                                <w:rFonts w:ascii="Open Sans" w:hAnsi="Open Sans" w:cs="Open Sans"/>
                                <w:sz w:val="16"/>
                                <w:szCs w:val="16"/>
                              </w:rPr>
                              <w:t xml:space="preserve">. </w:t>
                            </w:r>
                          </w:p>
                          <w:p w14:paraId="4123789A" w14:textId="77777777"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Artikkelen tilbakeviser en ofte antatt sannhet, nemlig at det eksisterer en naturlig (eller likevekts-) ledighet. </w:t>
                            </w:r>
                            <w:r>
                              <w:rPr>
                                <w:rFonts w:ascii="Open Sans" w:hAnsi="Open Sans" w:cs="Open Sans"/>
                                <w:sz w:val="16"/>
                                <w:szCs w:val="16"/>
                              </w:rPr>
                              <w:t>Om teorien om naturlig ledighet stemte k</w:t>
                            </w:r>
                            <w:r w:rsidRPr="00F41E7B">
                              <w:rPr>
                                <w:rFonts w:ascii="Open Sans" w:hAnsi="Open Sans" w:cs="Open Sans"/>
                                <w:sz w:val="16"/>
                                <w:szCs w:val="16"/>
                              </w:rPr>
                              <w:t xml:space="preserve">an </w:t>
                            </w:r>
                            <w:r>
                              <w:rPr>
                                <w:rFonts w:ascii="Open Sans" w:hAnsi="Open Sans" w:cs="Open Sans"/>
                                <w:sz w:val="16"/>
                                <w:szCs w:val="16"/>
                              </w:rPr>
                              <w:t>man</w:t>
                            </w:r>
                            <w:r w:rsidRPr="00F41E7B">
                              <w:rPr>
                                <w:rFonts w:ascii="Open Sans" w:hAnsi="Open Sans" w:cs="Open Sans"/>
                                <w:sz w:val="16"/>
                                <w:szCs w:val="16"/>
                              </w:rPr>
                              <w:t xml:space="preserve"> ikke forvente å kunne stabilisere arbeidsledigheten på lavere nivå siden korreksjoner, gjennom mekanismene som ligger i lønns- og prisdannelsen, før eller senere vil tvinge ledigheten tilbake mot den naturlige raten. Mekanismen går gjennom høy inflasjon og tap av konkurranseevne.     </w:t>
                            </w:r>
                          </w:p>
                          <w:p w14:paraId="08D68663" w14:textId="62CD997B"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Teorien om naturlig ledighet har sterke implikasjoner. Den naturlige arbeidsledigheten er uavhengig av pengepolitikken og finanspolitikken, og alle forsøk på å bringe ledigheten til et lavere nivå vil medføre økt inflasjon. </w:t>
                            </w:r>
                            <w:r w:rsidR="00F27FA4">
                              <w:rPr>
                                <w:rFonts w:ascii="Open Sans" w:hAnsi="Open Sans" w:cs="Open Sans"/>
                                <w:sz w:val="16"/>
                                <w:szCs w:val="16"/>
                              </w:rPr>
                              <w:t>Den ø</w:t>
                            </w:r>
                            <w:r w:rsidRPr="00F41E7B">
                              <w:rPr>
                                <w:rFonts w:ascii="Open Sans" w:hAnsi="Open Sans" w:cs="Open Sans"/>
                                <w:sz w:val="16"/>
                                <w:szCs w:val="16"/>
                              </w:rPr>
                              <w:t>konomisk</w:t>
                            </w:r>
                            <w:r w:rsidR="00F27FA4">
                              <w:rPr>
                                <w:rFonts w:ascii="Open Sans" w:hAnsi="Open Sans" w:cs="Open Sans"/>
                                <w:sz w:val="16"/>
                                <w:szCs w:val="16"/>
                              </w:rPr>
                              <w:t>e</w:t>
                            </w:r>
                            <w:r w:rsidRPr="00F41E7B">
                              <w:rPr>
                                <w:rFonts w:ascii="Open Sans" w:hAnsi="Open Sans" w:cs="Open Sans"/>
                                <w:sz w:val="16"/>
                                <w:szCs w:val="16"/>
                              </w:rPr>
                              <w:t xml:space="preserve"> politikk</w:t>
                            </w:r>
                            <w:r w:rsidR="00F27FA4">
                              <w:rPr>
                                <w:rFonts w:ascii="Open Sans" w:hAnsi="Open Sans" w:cs="Open Sans"/>
                                <w:sz w:val="16"/>
                                <w:szCs w:val="16"/>
                              </w:rPr>
                              <w:t>en</w:t>
                            </w:r>
                            <w:r w:rsidRPr="00F41E7B">
                              <w:rPr>
                                <w:rFonts w:ascii="Open Sans" w:hAnsi="Open Sans" w:cs="Open Sans"/>
                                <w:sz w:val="16"/>
                                <w:szCs w:val="16"/>
                              </w:rPr>
                              <w:t>s rolle blir dermed reduser</w:t>
                            </w:r>
                            <w:r>
                              <w:rPr>
                                <w:rFonts w:ascii="Open Sans" w:hAnsi="Open Sans" w:cs="Open Sans"/>
                                <w:sz w:val="16"/>
                                <w:szCs w:val="16"/>
                              </w:rPr>
                              <w:t>t</w:t>
                            </w:r>
                            <w:r w:rsidRPr="00F41E7B">
                              <w:rPr>
                                <w:rFonts w:ascii="Open Sans" w:hAnsi="Open Sans" w:cs="Open Sans"/>
                                <w:sz w:val="16"/>
                                <w:szCs w:val="16"/>
                              </w:rPr>
                              <w:t xml:space="preserve"> til kun å «hjelpe» mekanismene som bringer ledigheten til sitt naturlige nivå. Mer bør en heller ikke gjøre</w:t>
                            </w:r>
                            <w:r>
                              <w:rPr>
                                <w:rFonts w:ascii="Open Sans" w:hAnsi="Open Sans" w:cs="Open Sans"/>
                                <w:sz w:val="16"/>
                                <w:szCs w:val="16"/>
                              </w:rPr>
                              <w:t xml:space="preserve"> ifølge denne teorien</w:t>
                            </w:r>
                            <w:r w:rsidRPr="00F41E7B">
                              <w:rPr>
                                <w:rFonts w:ascii="Open Sans" w:hAnsi="Open Sans" w:cs="Open Sans"/>
                                <w:sz w:val="16"/>
                                <w:szCs w:val="16"/>
                              </w:rPr>
                              <w:t xml:space="preserve">. </w:t>
                            </w:r>
                          </w:p>
                          <w:p w14:paraId="28EE40A9" w14:textId="0D240552"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Teorien om naturlig ledighet blir imidlertid forkastet siden ledigheten beviselig stabiliserer seg på forskjellige nivåer. Det har reist spørsmål om den naturlige ledigheten er bevegelig og avhenger av den faktiske utviklingen i ledighet, såkalt hysterese. Det stemmer for eksempel overens med observasjonene i Europa hvor den naturlige ledighetsraten – som tilsa stabil inflasjon</w:t>
                            </w:r>
                            <w:r w:rsidR="00F27FA4">
                              <w:rPr>
                                <w:rFonts w:ascii="Open Sans" w:hAnsi="Open Sans" w:cs="Open Sans"/>
                                <w:sz w:val="16"/>
                                <w:szCs w:val="16"/>
                              </w:rPr>
                              <w:t xml:space="preserve"> -</w:t>
                            </w:r>
                            <w:r w:rsidRPr="00F41E7B">
                              <w:rPr>
                                <w:rFonts w:ascii="Open Sans" w:hAnsi="Open Sans" w:cs="Open Sans"/>
                                <w:sz w:val="16"/>
                                <w:szCs w:val="16"/>
                              </w:rPr>
                              <w:t xml:space="preserve"> stadig gikk oppover på grunn av vedvarende høyt ledighetsnivå. Implikasjonen av dette er at likevektsledigheten ikke er uavhengig av varige endringer i andre deler av økonomien, som for eksempel økonomisk politikk. Da blir det viktig og essensielt å føre en motkonjunktur</w:t>
                            </w:r>
                            <w:r w:rsidR="00567240">
                              <w:rPr>
                                <w:rFonts w:ascii="Open Sans" w:hAnsi="Open Sans" w:cs="Open Sans"/>
                                <w:sz w:val="16"/>
                                <w:szCs w:val="16"/>
                              </w:rPr>
                              <w:t>-</w:t>
                            </w:r>
                            <w:r w:rsidRPr="00F41E7B">
                              <w:rPr>
                                <w:rFonts w:ascii="Open Sans" w:hAnsi="Open Sans" w:cs="Open Sans"/>
                                <w:sz w:val="16"/>
                                <w:szCs w:val="16"/>
                              </w:rPr>
                              <w:t>politikk og bringe ned arbeidsledighet</w:t>
                            </w:r>
                            <w:r w:rsidR="00567240">
                              <w:rPr>
                                <w:rFonts w:ascii="Open Sans" w:hAnsi="Open Sans" w:cs="Open Sans"/>
                                <w:sz w:val="16"/>
                                <w:szCs w:val="16"/>
                              </w:rPr>
                              <w:t>en</w:t>
                            </w:r>
                            <w:r w:rsidRPr="00F41E7B">
                              <w:rPr>
                                <w:rFonts w:ascii="Open Sans" w:hAnsi="Open Sans" w:cs="Open Sans"/>
                                <w:sz w:val="16"/>
                                <w:szCs w:val="16"/>
                              </w:rPr>
                              <w:t xml:space="preserve"> for å unngå </w:t>
                            </w:r>
                            <w:r>
                              <w:rPr>
                                <w:rFonts w:ascii="Open Sans" w:hAnsi="Open Sans" w:cs="Open Sans"/>
                                <w:sz w:val="16"/>
                                <w:szCs w:val="16"/>
                              </w:rPr>
                              <w:t xml:space="preserve">at </w:t>
                            </w:r>
                            <w:r w:rsidRPr="00F41E7B">
                              <w:rPr>
                                <w:rFonts w:ascii="Open Sans" w:hAnsi="Open Sans" w:cs="Open Sans"/>
                                <w:sz w:val="16"/>
                                <w:szCs w:val="16"/>
                              </w:rPr>
                              <w:t xml:space="preserve">den naturlige eller likevektsledigheten øker til et nivå som er uholdbart høyt for samfunnet. </w:t>
                            </w:r>
                          </w:p>
                          <w:p w14:paraId="57334BD0" w14:textId="54C8915F"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E</w:t>
                            </w:r>
                            <w:r>
                              <w:rPr>
                                <w:rFonts w:ascii="Open Sans" w:hAnsi="Open Sans" w:cs="Open Sans"/>
                                <w:sz w:val="16"/>
                                <w:szCs w:val="16"/>
                              </w:rPr>
                              <w:t>t</w:t>
                            </w:r>
                            <w:r w:rsidRPr="00F41E7B">
                              <w:rPr>
                                <w:rFonts w:ascii="Open Sans" w:hAnsi="Open Sans" w:cs="Open Sans"/>
                                <w:sz w:val="16"/>
                                <w:szCs w:val="16"/>
                              </w:rPr>
                              <w:t xml:space="preserve"> anne</w:t>
                            </w:r>
                            <w:r>
                              <w:rPr>
                                <w:rFonts w:ascii="Open Sans" w:hAnsi="Open Sans" w:cs="Open Sans"/>
                                <w:sz w:val="16"/>
                                <w:szCs w:val="16"/>
                              </w:rPr>
                              <w:t>t</w:t>
                            </w:r>
                            <w:r w:rsidRPr="00F41E7B">
                              <w:rPr>
                                <w:rFonts w:ascii="Open Sans" w:hAnsi="Open Sans" w:cs="Open Sans"/>
                                <w:sz w:val="16"/>
                                <w:szCs w:val="16"/>
                              </w:rPr>
                              <w:t xml:space="preserve"> særnorsk tilbakeslag for hypotesen om naturlig ledighet er den norske modellen for lønnsdannelse, kjent som frontfagsmodellen</w:t>
                            </w:r>
                            <w:r w:rsidR="004B559C">
                              <w:rPr>
                                <w:rFonts w:ascii="Open Sans" w:hAnsi="Open Sans" w:cs="Open Sans"/>
                                <w:sz w:val="16"/>
                                <w:szCs w:val="16"/>
                              </w:rPr>
                              <w:t>. Den kjennetegnes av</w:t>
                            </w:r>
                            <w:r w:rsidRPr="00F41E7B">
                              <w:rPr>
                                <w:rFonts w:ascii="Open Sans" w:hAnsi="Open Sans" w:cs="Open Sans"/>
                                <w:sz w:val="16"/>
                                <w:szCs w:val="16"/>
                              </w:rPr>
                              <w:t xml:space="preserve"> høy grad av koordinering fra industri til øvrige sektorer. Denne modellen kan sees på som del av en mer omfattende sosial kontrakt. Partene i arbeidslivet har mandat til å sette en "riktig" lønn for landet – en lønn som svarer til lønnsevne, produktivitet og konkurranseevne, i bytte mot at politikerne og sentralbanken gjør sitt for å sørge for at arbeidsledigheten blir så lav som praktisk mulig, hensyntatt at arbeidsmarkedet er en del av en deregulert økonomi som</w:t>
                            </w:r>
                            <w:r>
                              <w:rPr>
                                <w:rFonts w:ascii="Open Sans" w:hAnsi="Open Sans" w:cs="Open Sans"/>
                                <w:sz w:val="16"/>
                                <w:szCs w:val="16"/>
                              </w:rPr>
                              <w:t xml:space="preserve"> er</w:t>
                            </w:r>
                            <w:r w:rsidRPr="00F41E7B">
                              <w:rPr>
                                <w:rFonts w:ascii="Open Sans" w:hAnsi="Open Sans" w:cs="Open Sans"/>
                                <w:sz w:val="16"/>
                                <w:szCs w:val="16"/>
                              </w:rPr>
                              <w:t xml:space="preserve"> under stadig utvikling og påvirkes av globale utviklingstrekk. Pris- og lønnsspiraler vil dermed brytes, og dette muliggjør at finans- og pengepolitikken kan innrettes mot full sysselsetting, uten å resultere i akselererende inflasjon og/eller ukontrollert tap av konkurranseevne. Empirisk står frontfagsmodellen støtt, hvilket betyr at data/statistikken bekrefter </w:t>
                            </w:r>
                            <w:r>
                              <w:rPr>
                                <w:rFonts w:ascii="Open Sans" w:hAnsi="Open Sans" w:cs="Open Sans"/>
                                <w:sz w:val="16"/>
                                <w:szCs w:val="16"/>
                              </w:rPr>
                              <w:t xml:space="preserve">at </w:t>
                            </w:r>
                            <w:r w:rsidRPr="00F41E7B">
                              <w:rPr>
                                <w:rFonts w:ascii="Open Sans" w:hAnsi="Open Sans" w:cs="Open Sans"/>
                                <w:sz w:val="16"/>
                                <w:szCs w:val="16"/>
                              </w:rPr>
                              <w:t>modellen virker. Teorien om naturlig ledighet ser derimot helt bort fra den betydningsfulle rolle som den sosiale kontrakten kan spille for makroøkonomisk stabilisering.</w:t>
                            </w:r>
                          </w:p>
                          <w:p w14:paraId="65F06225" w14:textId="7C6CFC6A"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Utøvelse av penge- og finanspolitikk påvirkes av sentralbankens og </w:t>
                            </w:r>
                            <w:r w:rsidR="008F7C49">
                              <w:rPr>
                                <w:rFonts w:ascii="Open Sans" w:hAnsi="Open Sans" w:cs="Open Sans"/>
                                <w:sz w:val="16"/>
                                <w:szCs w:val="16"/>
                              </w:rPr>
                              <w:t>F</w:t>
                            </w:r>
                            <w:r w:rsidRPr="00F41E7B">
                              <w:rPr>
                                <w:rFonts w:ascii="Open Sans" w:hAnsi="Open Sans" w:cs="Open Sans"/>
                                <w:sz w:val="16"/>
                                <w:szCs w:val="16"/>
                              </w:rPr>
                              <w:t xml:space="preserve">inansdepartementets forståelse av hvordan makroøkonomien fungerer, og de modellene de bruker i inflasjonsstyringen og finanspolitisk styring. Etter at Norges Bank ble selvstendig i pengepolitikken og begynte med inflasjonsstyring i 2001, ble den også en av mange sentralbanker som adopterte hypotesen om naturlig ledighet.  De senere versjoner av Norges Banks makromodell, som har navnet NEMO, ble utviklet til dette formålet. Den siste tilveksten i offisielle makromodeller i Norge er NORA, den nye finanspolitiske modellen til Finansdepartementet. Naturlig ledighet er også lagt til grunn for denne modellen. </w:t>
                            </w:r>
                          </w:p>
                          <w:p w14:paraId="51F221BF" w14:textId="2B4C0159"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Dersom både sentralbanken og Finansdepartementet, gjennom sine makromodeller, styrer ut ifra disse modellene og at naturlig ledighet er en realitet, vil ikke den økonomiske politikken kunne </w:t>
                            </w:r>
                            <w:r>
                              <w:rPr>
                                <w:rFonts w:ascii="Open Sans" w:hAnsi="Open Sans" w:cs="Open Sans"/>
                                <w:sz w:val="16"/>
                                <w:szCs w:val="16"/>
                              </w:rPr>
                              <w:t xml:space="preserve">få </w:t>
                            </w:r>
                            <w:r w:rsidRPr="00F41E7B">
                              <w:rPr>
                                <w:rFonts w:ascii="Open Sans" w:hAnsi="Open Sans" w:cs="Open Sans"/>
                                <w:sz w:val="16"/>
                                <w:szCs w:val="16"/>
                              </w:rPr>
                              <w:t xml:space="preserve">utbytte </w:t>
                            </w:r>
                            <w:r>
                              <w:rPr>
                                <w:rFonts w:ascii="Open Sans" w:hAnsi="Open Sans" w:cs="Open Sans"/>
                                <w:sz w:val="16"/>
                                <w:szCs w:val="16"/>
                              </w:rPr>
                              <w:t xml:space="preserve">av </w:t>
                            </w:r>
                            <w:r w:rsidRPr="00F41E7B">
                              <w:rPr>
                                <w:rFonts w:ascii="Open Sans" w:hAnsi="Open Sans" w:cs="Open Sans"/>
                                <w:sz w:val="16"/>
                                <w:szCs w:val="16"/>
                              </w:rPr>
                              <w:t xml:space="preserve">hele </w:t>
                            </w:r>
                            <w:r>
                              <w:rPr>
                                <w:rFonts w:ascii="Open Sans" w:hAnsi="Open Sans" w:cs="Open Sans"/>
                                <w:sz w:val="16"/>
                                <w:szCs w:val="16"/>
                              </w:rPr>
                              <w:t xml:space="preserve">det </w:t>
                            </w:r>
                            <w:r w:rsidRPr="00F41E7B">
                              <w:rPr>
                                <w:rFonts w:ascii="Open Sans" w:hAnsi="Open Sans" w:cs="Open Sans"/>
                                <w:sz w:val="16"/>
                                <w:szCs w:val="16"/>
                              </w:rPr>
                              <w:t>spill</w:t>
                            </w:r>
                            <w:r>
                              <w:rPr>
                                <w:rFonts w:ascii="Open Sans" w:hAnsi="Open Sans" w:cs="Open Sans"/>
                                <w:sz w:val="16"/>
                                <w:szCs w:val="16"/>
                              </w:rPr>
                              <w:t>e</w:t>
                            </w:r>
                            <w:r w:rsidRPr="00F41E7B">
                              <w:rPr>
                                <w:rFonts w:ascii="Open Sans" w:hAnsi="Open Sans" w:cs="Open Sans"/>
                                <w:sz w:val="16"/>
                                <w:szCs w:val="16"/>
                              </w:rPr>
                              <w:t>rommet som den norske modellen for lønnsdannelse muliggjør og innrettes mot full sysselsetting som egentlig er det øverste målet for penge- og finanspolitikken. Finanspolitikken kunne bli lagt på tørkel</w:t>
                            </w:r>
                            <w:r>
                              <w:rPr>
                                <w:rFonts w:ascii="Open Sans" w:hAnsi="Open Sans" w:cs="Open Sans"/>
                                <w:sz w:val="16"/>
                                <w:szCs w:val="16"/>
                              </w:rPr>
                              <w:t>o</w:t>
                            </w:r>
                            <w:r w:rsidRPr="00F41E7B">
                              <w:rPr>
                                <w:rFonts w:ascii="Open Sans" w:hAnsi="Open Sans" w:cs="Open Sans"/>
                                <w:sz w:val="16"/>
                                <w:szCs w:val="16"/>
                              </w:rPr>
                              <w:t>ftet, fordi konjunkturreguleringen ifølge hypotesen om naturlig ledighet skal skje gjennom pengepolitikken</w:t>
                            </w:r>
                            <w:r w:rsidR="00310693">
                              <w:rPr>
                                <w:rFonts w:ascii="Open Sans" w:hAnsi="Open Sans" w:cs="Open Sans"/>
                                <w:sz w:val="16"/>
                                <w:szCs w:val="16"/>
                              </w:rPr>
                              <w:t>. I realiteten kan p</w:t>
                            </w:r>
                            <w:r w:rsidRPr="00F41E7B">
                              <w:rPr>
                                <w:rFonts w:ascii="Open Sans" w:hAnsi="Open Sans" w:cs="Open Sans"/>
                                <w:sz w:val="16"/>
                                <w:szCs w:val="16"/>
                              </w:rPr>
                              <w:t>engepolitikken reagere for lite eller for kortvarig på et fall i den samlede etterspørselen, eller overreagere på akselererende inflasjon som følge av et tilbudssjokk og/eller importert inflasjon fra andre land.  I verst</w:t>
                            </w:r>
                            <w:r>
                              <w:rPr>
                                <w:rFonts w:ascii="Open Sans" w:hAnsi="Open Sans" w:cs="Open Sans"/>
                                <w:sz w:val="16"/>
                                <w:szCs w:val="16"/>
                              </w:rPr>
                              <w:t>e</w:t>
                            </w:r>
                            <w:r w:rsidRPr="00F41E7B">
                              <w:rPr>
                                <w:rFonts w:ascii="Open Sans" w:hAnsi="Open Sans" w:cs="Open Sans"/>
                                <w:sz w:val="16"/>
                                <w:szCs w:val="16"/>
                              </w:rPr>
                              <w:t xml:space="preserve"> fall vil </w:t>
                            </w:r>
                            <w:r w:rsidR="00310693">
                              <w:rPr>
                                <w:rFonts w:ascii="Open Sans" w:hAnsi="Open Sans" w:cs="Open Sans"/>
                                <w:sz w:val="16"/>
                                <w:szCs w:val="16"/>
                              </w:rPr>
                              <w:t xml:space="preserve">en slik </w:t>
                            </w:r>
                            <w:r w:rsidRPr="00F41E7B">
                              <w:rPr>
                                <w:rFonts w:ascii="Open Sans" w:hAnsi="Open Sans" w:cs="Open Sans"/>
                                <w:sz w:val="16"/>
                                <w:szCs w:val="16"/>
                              </w:rPr>
                              <w:t>utøvelse av den økonomiske politikken kunne bidra til å underminere hele den norske modellen.</w:t>
                            </w:r>
                          </w:p>
                          <w:p w14:paraId="51058356" w14:textId="77777777" w:rsidR="00CD67E2" w:rsidRPr="00F41E7B" w:rsidRDefault="00CD67E2" w:rsidP="00CD67E2">
                            <w:pPr>
                              <w:spacing w:line="240" w:lineRule="auto"/>
                              <w:jc w:val="both"/>
                              <w:rPr>
                                <w:rFonts w:ascii="Open Sans" w:hAnsi="Open Sans" w:cs="Open Sans"/>
                                <w:i/>
                                <w:iCs/>
                                <w:sz w:val="16"/>
                                <w:szCs w:val="16"/>
                              </w:rPr>
                            </w:pPr>
                            <w:r w:rsidRPr="00F41E7B">
                              <w:rPr>
                                <w:rFonts w:ascii="Open Sans" w:hAnsi="Open Sans" w:cs="Open Sans"/>
                                <w:i/>
                                <w:iCs/>
                                <w:sz w:val="16"/>
                                <w:szCs w:val="16"/>
                              </w:rPr>
                              <w:t xml:space="preserve">Litteraturkilde:  </w:t>
                            </w:r>
                          </w:p>
                          <w:p w14:paraId="5B8C6A1C" w14:textId="77777777" w:rsidR="00CD67E2" w:rsidRDefault="00CD67E2" w:rsidP="00CD67E2">
                            <w:pPr>
                              <w:spacing w:line="240" w:lineRule="auto"/>
                              <w:jc w:val="both"/>
                              <w:rPr>
                                <w:rFonts w:ascii="Open Sans" w:hAnsi="Open Sans" w:cs="Open Sans"/>
                                <w:i/>
                                <w:iCs/>
                                <w:sz w:val="16"/>
                                <w:szCs w:val="16"/>
                              </w:rPr>
                            </w:pPr>
                            <w:r w:rsidRPr="00F41E7B">
                              <w:rPr>
                                <w:rFonts w:ascii="Open Sans" w:hAnsi="Open Sans" w:cs="Open Sans"/>
                                <w:sz w:val="16"/>
                                <w:szCs w:val="16"/>
                              </w:rPr>
                              <w:t xml:space="preserve">Nymoen R., </w:t>
                            </w:r>
                            <w:proofErr w:type="spellStart"/>
                            <w:r w:rsidRPr="00F41E7B">
                              <w:rPr>
                                <w:rFonts w:ascii="Open Sans" w:hAnsi="Open Sans" w:cs="Open Sans"/>
                                <w:sz w:val="16"/>
                                <w:szCs w:val="16"/>
                              </w:rPr>
                              <w:t>Kordt</w:t>
                            </w:r>
                            <w:proofErr w:type="spellEnd"/>
                            <w:r w:rsidRPr="00F41E7B">
                              <w:rPr>
                                <w:rFonts w:ascii="Open Sans" w:hAnsi="Open Sans" w:cs="Open Sans"/>
                                <w:sz w:val="16"/>
                                <w:szCs w:val="16"/>
                              </w:rPr>
                              <w:t xml:space="preserve"> A. og </w:t>
                            </w:r>
                            <w:proofErr w:type="spellStart"/>
                            <w:r w:rsidRPr="00F41E7B">
                              <w:rPr>
                                <w:rFonts w:ascii="Open Sans" w:hAnsi="Open Sans" w:cs="Open Sans"/>
                                <w:sz w:val="16"/>
                                <w:szCs w:val="16"/>
                              </w:rPr>
                              <w:t>Benedictow</w:t>
                            </w:r>
                            <w:proofErr w:type="spellEnd"/>
                            <w:r w:rsidRPr="00F41E7B">
                              <w:rPr>
                                <w:rFonts w:ascii="Open Sans" w:hAnsi="Open Sans" w:cs="Open Sans"/>
                                <w:sz w:val="16"/>
                                <w:szCs w:val="16"/>
                              </w:rPr>
                              <w:t xml:space="preserve"> A. (2022). Økonomisk politikk og den norske modellen for lønnsdannelse. </w:t>
                            </w:r>
                            <w:r w:rsidRPr="00F41E7B">
                              <w:rPr>
                                <w:rFonts w:ascii="Open Sans" w:hAnsi="Open Sans" w:cs="Open Sans"/>
                                <w:i/>
                                <w:iCs/>
                                <w:sz w:val="16"/>
                                <w:szCs w:val="16"/>
                              </w:rPr>
                              <w:t>Samfunnsøkonomisk Analyse.</w:t>
                            </w:r>
                          </w:p>
                          <w:p w14:paraId="34CF9548" w14:textId="2CF7D523" w:rsidR="00CD67E2" w:rsidRPr="00912114" w:rsidRDefault="00CD67E2" w:rsidP="00CD67E2">
                            <w:pPr>
                              <w:spacing w:line="240" w:lineRule="auto"/>
                              <w:jc w:val="both"/>
                              <w:rPr>
                                <w:rFonts w:ascii="Open Sans" w:hAnsi="Open Sans" w:cs="Open Sans"/>
                                <w:sz w:val="16"/>
                                <w:szCs w:val="16"/>
                              </w:rPr>
                            </w:pPr>
                            <w:proofErr w:type="spellStart"/>
                            <w:r>
                              <w:rPr>
                                <w:rFonts w:ascii="Open Sans" w:hAnsi="Open Sans" w:cs="Open Sans"/>
                                <w:sz w:val="16"/>
                                <w:szCs w:val="16"/>
                              </w:rPr>
                              <w:t>Benedictow</w:t>
                            </w:r>
                            <w:proofErr w:type="spellEnd"/>
                            <w:r>
                              <w:rPr>
                                <w:rFonts w:ascii="Open Sans" w:hAnsi="Open Sans" w:cs="Open Sans"/>
                                <w:sz w:val="16"/>
                                <w:szCs w:val="16"/>
                              </w:rPr>
                              <w:t xml:space="preserve">, A. (2019). </w:t>
                            </w:r>
                            <w:hyperlink r:id="rId15" w:history="1">
                              <w:r w:rsidRPr="00DB21BD">
                                <w:rPr>
                                  <w:rStyle w:val="Hyperkobling"/>
                                  <w:rFonts w:ascii="Open Sans" w:hAnsi="Open Sans" w:cs="Open Sans"/>
                                  <w:sz w:val="16"/>
                                  <w:szCs w:val="16"/>
                                </w:rPr>
                                <w:t>Hvordan bør sentrale mekanismer i Den norske modellen reflekteres i makroøkonomiske modeller?</w:t>
                              </w:r>
                            </w:hyperlink>
                            <w:r>
                              <w:rPr>
                                <w:rFonts w:ascii="Open Sans" w:hAnsi="Open Sans" w:cs="Open Sans"/>
                                <w:sz w:val="16"/>
                                <w:szCs w:val="16"/>
                              </w:rPr>
                              <w:t xml:space="preserve"> Rapport 8/2019. Samfunnsøkonomisk 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639F" id="_x0000_t202" coordsize="21600,21600" o:spt="202" path="m,l,21600r21600,l21600,xe">
                <v:stroke joinstyle="miter"/>
                <v:path gradientshapeok="t" o:connecttype="rect"/>
              </v:shapetype>
              <v:shape id="Tekstboks 29" o:spid="_x0000_s1026" type="#_x0000_t202" style="position:absolute;margin-left:-20.2pt;margin-top:-20.2pt;width:491.05pt;height:679.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" fillcolor="window" strokeweight=".5pt">
                <v:textbox>
                  <w:txbxContent>
                    <w:p w14:paraId="07E3F533" w14:textId="7CD83BB0" w:rsidR="00CD67E2" w:rsidRPr="00F41E7B" w:rsidRDefault="00CD67E2" w:rsidP="00CD67E2">
                      <w:pPr>
                        <w:jc w:val="both"/>
                        <w:rPr>
                          <w:rFonts w:ascii="Open Sans" w:hAnsi="Open Sans" w:cs="Open Sans"/>
                          <w:b/>
                          <w:bCs/>
                          <w:szCs w:val="20"/>
                        </w:rPr>
                      </w:pPr>
                      <w:r w:rsidRPr="00CD67E2">
                        <w:rPr>
                          <w:rFonts w:ascii="Open Sans" w:hAnsi="Open Sans" w:cs="Open Sans"/>
                          <w:b/>
                          <w:bCs/>
                          <w:szCs w:val="20"/>
                        </w:rPr>
                        <w:t xml:space="preserve">Boks </w:t>
                      </w:r>
                      <w:r>
                        <w:rPr>
                          <w:rFonts w:ascii="Open Sans" w:hAnsi="Open Sans" w:cs="Open Sans"/>
                          <w:b/>
                          <w:bCs/>
                          <w:szCs w:val="20"/>
                        </w:rPr>
                        <w:t>1</w:t>
                      </w:r>
                      <w:r w:rsidRPr="00E82E4B">
                        <w:rPr>
                          <w:rFonts w:ascii="Open Sans" w:hAnsi="Open Sans" w:cs="Open Sans"/>
                          <w:b/>
                          <w:bCs/>
                          <w:szCs w:val="20"/>
                        </w:rPr>
                        <w:t xml:space="preserve">: </w:t>
                      </w:r>
                      <w:r>
                        <w:rPr>
                          <w:rFonts w:ascii="Open Sans" w:hAnsi="Open Sans" w:cs="Open Sans"/>
                          <w:b/>
                          <w:bCs/>
                          <w:szCs w:val="20"/>
                        </w:rPr>
                        <w:t xml:space="preserve">Den norske modellen muliggjør full sysselsetting gjennom den økonomiske politikken </w:t>
                      </w:r>
                    </w:p>
                    <w:p w14:paraId="4F4264D7" w14:textId="0867279E"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Samfunnsøkonomisk analyse (</w:t>
                      </w:r>
                      <w:r w:rsidR="00875A21">
                        <w:rPr>
                          <w:rFonts w:ascii="Open Sans" w:hAnsi="Open Sans" w:cs="Open Sans"/>
                          <w:sz w:val="16"/>
                          <w:szCs w:val="16"/>
                        </w:rPr>
                        <w:t xml:space="preserve">egen forskningsartikkel og </w:t>
                      </w:r>
                      <w:r w:rsidRPr="00F41E7B">
                        <w:rPr>
                          <w:rFonts w:ascii="Open Sans" w:hAnsi="Open Sans" w:cs="Open Sans"/>
                          <w:sz w:val="16"/>
                          <w:szCs w:val="16"/>
                        </w:rPr>
                        <w:t xml:space="preserve">kommende artikkel i tidsskriftet Samfunnsøkonomen, «Økonomisk politikk og den norske modellen for lønnsdannelse») viser en svært viktig og aktuell egenskap ved norsk økonomi. Egenskapen har betydning for den økonomiske politikken i oppgangstider. Hovedkonklusjonen er at </w:t>
                      </w:r>
                      <w:r w:rsidRPr="00F41E7B">
                        <w:rPr>
                          <w:rFonts w:ascii="Open Sans" w:hAnsi="Open Sans" w:cs="Open Sans"/>
                          <w:b/>
                          <w:bCs/>
                          <w:sz w:val="16"/>
                          <w:szCs w:val="16"/>
                        </w:rPr>
                        <w:t>den koordinerte lønnsdannelsen påvirker sentrale mekanismer i norsk økonomi som muliggjør at finans- og pengepolitikken kan innrettes mot full sysselsetting, uten å resultere i akselererende inflasjon og/eller ukontrollert tap av konkurranseevne</w:t>
                      </w:r>
                      <w:r w:rsidRPr="00F41E7B">
                        <w:rPr>
                          <w:rFonts w:ascii="Open Sans" w:hAnsi="Open Sans" w:cs="Open Sans"/>
                          <w:sz w:val="16"/>
                          <w:szCs w:val="16"/>
                        </w:rPr>
                        <w:t xml:space="preserve">. </w:t>
                      </w:r>
                    </w:p>
                    <w:p w14:paraId="4123789A" w14:textId="77777777"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Artikkelen tilbakeviser en ofte antatt sannhet, nemlig at det eksisterer en naturlig (eller likevekts-) ledighet. </w:t>
                      </w:r>
                      <w:r>
                        <w:rPr>
                          <w:rFonts w:ascii="Open Sans" w:hAnsi="Open Sans" w:cs="Open Sans"/>
                          <w:sz w:val="16"/>
                          <w:szCs w:val="16"/>
                        </w:rPr>
                        <w:t>Om teorien om naturlig ledighet stemte k</w:t>
                      </w:r>
                      <w:r w:rsidRPr="00F41E7B">
                        <w:rPr>
                          <w:rFonts w:ascii="Open Sans" w:hAnsi="Open Sans" w:cs="Open Sans"/>
                          <w:sz w:val="16"/>
                          <w:szCs w:val="16"/>
                        </w:rPr>
                        <w:t xml:space="preserve">an </w:t>
                      </w:r>
                      <w:r>
                        <w:rPr>
                          <w:rFonts w:ascii="Open Sans" w:hAnsi="Open Sans" w:cs="Open Sans"/>
                          <w:sz w:val="16"/>
                          <w:szCs w:val="16"/>
                        </w:rPr>
                        <w:t>man</w:t>
                      </w:r>
                      <w:r w:rsidRPr="00F41E7B">
                        <w:rPr>
                          <w:rFonts w:ascii="Open Sans" w:hAnsi="Open Sans" w:cs="Open Sans"/>
                          <w:sz w:val="16"/>
                          <w:szCs w:val="16"/>
                        </w:rPr>
                        <w:t xml:space="preserve"> ikke forvente å kunne stabilisere arbeidsledigheten på lavere nivå siden korreksjoner, gjennom mekanismene som ligger i lønns- og prisdannelsen, før eller senere vil tvinge ledigheten tilbake mot den naturlige raten. Mekanismen går gjennom høy inflasjon og tap av konkurranseevne.     </w:t>
                      </w:r>
                    </w:p>
                    <w:p w14:paraId="08D68663" w14:textId="62CD997B"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Teorien om naturlig ledighet har sterke implikasjoner. Den naturlige arbeidsledigheten er uavhengig av pengepolitikken og finanspolitikken, og alle forsøk på å bringe ledigheten til et lavere nivå vil medføre økt inflasjon. </w:t>
                      </w:r>
                      <w:r w:rsidR="00F27FA4">
                        <w:rPr>
                          <w:rFonts w:ascii="Open Sans" w:hAnsi="Open Sans" w:cs="Open Sans"/>
                          <w:sz w:val="16"/>
                          <w:szCs w:val="16"/>
                        </w:rPr>
                        <w:t>Den ø</w:t>
                      </w:r>
                      <w:r w:rsidRPr="00F41E7B">
                        <w:rPr>
                          <w:rFonts w:ascii="Open Sans" w:hAnsi="Open Sans" w:cs="Open Sans"/>
                          <w:sz w:val="16"/>
                          <w:szCs w:val="16"/>
                        </w:rPr>
                        <w:t>konomisk</w:t>
                      </w:r>
                      <w:r w:rsidR="00F27FA4">
                        <w:rPr>
                          <w:rFonts w:ascii="Open Sans" w:hAnsi="Open Sans" w:cs="Open Sans"/>
                          <w:sz w:val="16"/>
                          <w:szCs w:val="16"/>
                        </w:rPr>
                        <w:t>e</w:t>
                      </w:r>
                      <w:r w:rsidRPr="00F41E7B">
                        <w:rPr>
                          <w:rFonts w:ascii="Open Sans" w:hAnsi="Open Sans" w:cs="Open Sans"/>
                          <w:sz w:val="16"/>
                          <w:szCs w:val="16"/>
                        </w:rPr>
                        <w:t xml:space="preserve"> politikk</w:t>
                      </w:r>
                      <w:r w:rsidR="00F27FA4">
                        <w:rPr>
                          <w:rFonts w:ascii="Open Sans" w:hAnsi="Open Sans" w:cs="Open Sans"/>
                          <w:sz w:val="16"/>
                          <w:szCs w:val="16"/>
                        </w:rPr>
                        <w:t>en</w:t>
                      </w:r>
                      <w:r w:rsidRPr="00F41E7B">
                        <w:rPr>
                          <w:rFonts w:ascii="Open Sans" w:hAnsi="Open Sans" w:cs="Open Sans"/>
                          <w:sz w:val="16"/>
                          <w:szCs w:val="16"/>
                        </w:rPr>
                        <w:t>s rolle blir dermed reduser</w:t>
                      </w:r>
                      <w:r>
                        <w:rPr>
                          <w:rFonts w:ascii="Open Sans" w:hAnsi="Open Sans" w:cs="Open Sans"/>
                          <w:sz w:val="16"/>
                          <w:szCs w:val="16"/>
                        </w:rPr>
                        <w:t>t</w:t>
                      </w:r>
                      <w:r w:rsidRPr="00F41E7B">
                        <w:rPr>
                          <w:rFonts w:ascii="Open Sans" w:hAnsi="Open Sans" w:cs="Open Sans"/>
                          <w:sz w:val="16"/>
                          <w:szCs w:val="16"/>
                        </w:rPr>
                        <w:t xml:space="preserve"> til kun å «hjelpe» mekanismene som bringer ledigheten til sitt naturlige nivå. Mer bør en heller ikke gjøre</w:t>
                      </w:r>
                      <w:r>
                        <w:rPr>
                          <w:rFonts w:ascii="Open Sans" w:hAnsi="Open Sans" w:cs="Open Sans"/>
                          <w:sz w:val="16"/>
                          <w:szCs w:val="16"/>
                        </w:rPr>
                        <w:t xml:space="preserve"> ifølge denne teorien</w:t>
                      </w:r>
                      <w:r w:rsidRPr="00F41E7B">
                        <w:rPr>
                          <w:rFonts w:ascii="Open Sans" w:hAnsi="Open Sans" w:cs="Open Sans"/>
                          <w:sz w:val="16"/>
                          <w:szCs w:val="16"/>
                        </w:rPr>
                        <w:t xml:space="preserve">. </w:t>
                      </w:r>
                    </w:p>
                    <w:p w14:paraId="28EE40A9" w14:textId="0D240552"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Teorien om naturlig ledighet blir imidlertid forkastet siden ledigheten beviselig stabiliserer seg på forskjellige nivåer. Det har reist spørsmål om den naturlige ledigheten er bevegelig og avhenger av den faktiske utviklingen i ledighet, såkalt hysterese. Det stemmer for eksempel overens med observasjonene i Europa hvor den naturlige ledighetsraten – som tilsa stabil inflasjon</w:t>
                      </w:r>
                      <w:r w:rsidR="00F27FA4">
                        <w:rPr>
                          <w:rFonts w:ascii="Open Sans" w:hAnsi="Open Sans" w:cs="Open Sans"/>
                          <w:sz w:val="16"/>
                          <w:szCs w:val="16"/>
                        </w:rPr>
                        <w:t xml:space="preserve"> -</w:t>
                      </w:r>
                      <w:r w:rsidRPr="00F41E7B">
                        <w:rPr>
                          <w:rFonts w:ascii="Open Sans" w:hAnsi="Open Sans" w:cs="Open Sans"/>
                          <w:sz w:val="16"/>
                          <w:szCs w:val="16"/>
                        </w:rPr>
                        <w:t xml:space="preserve"> stadig gikk oppover på grunn av vedvarende høyt ledighetsnivå. Implikasjonen av dette er at likevektsledigheten ikke er uavhengig av varige endringer i andre deler av økonomien, som for eksempel økonomisk politikk. Da blir det viktig og essensielt å føre en motkonjunktur</w:t>
                      </w:r>
                      <w:r w:rsidR="00567240">
                        <w:rPr>
                          <w:rFonts w:ascii="Open Sans" w:hAnsi="Open Sans" w:cs="Open Sans"/>
                          <w:sz w:val="16"/>
                          <w:szCs w:val="16"/>
                        </w:rPr>
                        <w:t>-</w:t>
                      </w:r>
                      <w:r w:rsidRPr="00F41E7B">
                        <w:rPr>
                          <w:rFonts w:ascii="Open Sans" w:hAnsi="Open Sans" w:cs="Open Sans"/>
                          <w:sz w:val="16"/>
                          <w:szCs w:val="16"/>
                        </w:rPr>
                        <w:t>politikk og bringe ned arbeidsledighet</w:t>
                      </w:r>
                      <w:r w:rsidR="00567240">
                        <w:rPr>
                          <w:rFonts w:ascii="Open Sans" w:hAnsi="Open Sans" w:cs="Open Sans"/>
                          <w:sz w:val="16"/>
                          <w:szCs w:val="16"/>
                        </w:rPr>
                        <w:t>en</w:t>
                      </w:r>
                      <w:r w:rsidRPr="00F41E7B">
                        <w:rPr>
                          <w:rFonts w:ascii="Open Sans" w:hAnsi="Open Sans" w:cs="Open Sans"/>
                          <w:sz w:val="16"/>
                          <w:szCs w:val="16"/>
                        </w:rPr>
                        <w:t xml:space="preserve"> for å unngå </w:t>
                      </w:r>
                      <w:r>
                        <w:rPr>
                          <w:rFonts w:ascii="Open Sans" w:hAnsi="Open Sans" w:cs="Open Sans"/>
                          <w:sz w:val="16"/>
                          <w:szCs w:val="16"/>
                        </w:rPr>
                        <w:t xml:space="preserve">at </w:t>
                      </w:r>
                      <w:r w:rsidRPr="00F41E7B">
                        <w:rPr>
                          <w:rFonts w:ascii="Open Sans" w:hAnsi="Open Sans" w:cs="Open Sans"/>
                          <w:sz w:val="16"/>
                          <w:szCs w:val="16"/>
                        </w:rPr>
                        <w:t xml:space="preserve">den naturlige eller likevektsledigheten øker til et nivå som er uholdbart høyt for samfunnet. </w:t>
                      </w:r>
                    </w:p>
                    <w:p w14:paraId="57334BD0" w14:textId="54C8915F"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E</w:t>
                      </w:r>
                      <w:r>
                        <w:rPr>
                          <w:rFonts w:ascii="Open Sans" w:hAnsi="Open Sans" w:cs="Open Sans"/>
                          <w:sz w:val="16"/>
                          <w:szCs w:val="16"/>
                        </w:rPr>
                        <w:t>t</w:t>
                      </w:r>
                      <w:r w:rsidRPr="00F41E7B">
                        <w:rPr>
                          <w:rFonts w:ascii="Open Sans" w:hAnsi="Open Sans" w:cs="Open Sans"/>
                          <w:sz w:val="16"/>
                          <w:szCs w:val="16"/>
                        </w:rPr>
                        <w:t xml:space="preserve"> anne</w:t>
                      </w:r>
                      <w:r>
                        <w:rPr>
                          <w:rFonts w:ascii="Open Sans" w:hAnsi="Open Sans" w:cs="Open Sans"/>
                          <w:sz w:val="16"/>
                          <w:szCs w:val="16"/>
                        </w:rPr>
                        <w:t>t</w:t>
                      </w:r>
                      <w:r w:rsidRPr="00F41E7B">
                        <w:rPr>
                          <w:rFonts w:ascii="Open Sans" w:hAnsi="Open Sans" w:cs="Open Sans"/>
                          <w:sz w:val="16"/>
                          <w:szCs w:val="16"/>
                        </w:rPr>
                        <w:t xml:space="preserve"> særnorsk tilbakeslag for hypotesen om naturlig ledighet er den norske modellen for lønnsdannelse, kjent som frontfagsmodellen</w:t>
                      </w:r>
                      <w:r w:rsidR="004B559C">
                        <w:rPr>
                          <w:rFonts w:ascii="Open Sans" w:hAnsi="Open Sans" w:cs="Open Sans"/>
                          <w:sz w:val="16"/>
                          <w:szCs w:val="16"/>
                        </w:rPr>
                        <w:t>. Den kjennetegnes av</w:t>
                      </w:r>
                      <w:r w:rsidRPr="00F41E7B">
                        <w:rPr>
                          <w:rFonts w:ascii="Open Sans" w:hAnsi="Open Sans" w:cs="Open Sans"/>
                          <w:sz w:val="16"/>
                          <w:szCs w:val="16"/>
                        </w:rPr>
                        <w:t xml:space="preserve"> høy grad av koordinering fra industri til øvrige sektorer. Denne modellen kan sees på som del av en mer omfattende sosial kontrakt. Partene i arbeidslivet har mandat til å sette en "riktig" lønn for landet – en lønn som svarer til lønnsevne, produktivitet og konkurranseevne, i bytte mot at politikerne og sentralbanken gjør sitt for å sørge for at arbeidsledigheten blir så lav som praktisk mulig, hensyntatt at arbeidsmarkedet er en del av en deregulert økonomi som</w:t>
                      </w:r>
                      <w:r>
                        <w:rPr>
                          <w:rFonts w:ascii="Open Sans" w:hAnsi="Open Sans" w:cs="Open Sans"/>
                          <w:sz w:val="16"/>
                          <w:szCs w:val="16"/>
                        </w:rPr>
                        <w:t xml:space="preserve"> er</w:t>
                      </w:r>
                      <w:r w:rsidRPr="00F41E7B">
                        <w:rPr>
                          <w:rFonts w:ascii="Open Sans" w:hAnsi="Open Sans" w:cs="Open Sans"/>
                          <w:sz w:val="16"/>
                          <w:szCs w:val="16"/>
                        </w:rPr>
                        <w:t xml:space="preserve"> under stadig utvikling og påvirkes av globale utviklingstrekk. Pris- og lønnsspiraler vil dermed brytes, og dette muliggjør at finans- og pengepolitikken kan innrettes mot full sysselsetting, uten å resultere i akselererende inflasjon og/eller ukontrollert tap av konkurranseevne. Empirisk står frontfagsmodellen støtt, hvilket betyr at data/statistikken bekrefter </w:t>
                      </w:r>
                      <w:r>
                        <w:rPr>
                          <w:rFonts w:ascii="Open Sans" w:hAnsi="Open Sans" w:cs="Open Sans"/>
                          <w:sz w:val="16"/>
                          <w:szCs w:val="16"/>
                        </w:rPr>
                        <w:t xml:space="preserve">at </w:t>
                      </w:r>
                      <w:r w:rsidRPr="00F41E7B">
                        <w:rPr>
                          <w:rFonts w:ascii="Open Sans" w:hAnsi="Open Sans" w:cs="Open Sans"/>
                          <w:sz w:val="16"/>
                          <w:szCs w:val="16"/>
                        </w:rPr>
                        <w:t>modellen virker. Teorien om naturlig ledighet ser derimot helt bort fra den betydningsfulle rolle som den sosiale kontrakten kan spille for makroøkonomisk stabilisering.</w:t>
                      </w:r>
                    </w:p>
                    <w:p w14:paraId="65F06225" w14:textId="7C6CFC6A"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Utøvelse av penge- og finanspolitikk påvirkes av sentralbankens og </w:t>
                      </w:r>
                      <w:r w:rsidR="008F7C49">
                        <w:rPr>
                          <w:rFonts w:ascii="Open Sans" w:hAnsi="Open Sans" w:cs="Open Sans"/>
                          <w:sz w:val="16"/>
                          <w:szCs w:val="16"/>
                        </w:rPr>
                        <w:t>F</w:t>
                      </w:r>
                      <w:r w:rsidRPr="00F41E7B">
                        <w:rPr>
                          <w:rFonts w:ascii="Open Sans" w:hAnsi="Open Sans" w:cs="Open Sans"/>
                          <w:sz w:val="16"/>
                          <w:szCs w:val="16"/>
                        </w:rPr>
                        <w:t xml:space="preserve">inansdepartementets forståelse av hvordan makroøkonomien fungerer, og de modellene de bruker i inflasjonsstyringen og finanspolitisk styring. Etter at Norges Bank ble selvstendig i pengepolitikken og begynte med inflasjonsstyring i 2001, ble den også en av mange sentralbanker som adopterte hypotesen om naturlig ledighet.  De senere versjoner av Norges Banks makromodell, som har navnet NEMO, ble utviklet til dette formålet. Den siste tilveksten i offisielle makromodeller i Norge er NORA, den nye finanspolitiske modellen til Finansdepartementet. Naturlig ledighet er også lagt til grunn for denne modellen. </w:t>
                      </w:r>
                    </w:p>
                    <w:p w14:paraId="51F221BF" w14:textId="2B4C0159" w:rsidR="00CD67E2" w:rsidRPr="00F41E7B" w:rsidRDefault="00CD67E2" w:rsidP="00CD67E2">
                      <w:pPr>
                        <w:spacing w:line="240" w:lineRule="auto"/>
                        <w:jc w:val="both"/>
                        <w:rPr>
                          <w:rFonts w:ascii="Open Sans" w:hAnsi="Open Sans" w:cs="Open Sans"/>
                          <w:sz w:val="16"/>
                          <w:szCs w:val="16"/>
                        </w:rPr>
                      </w:pPr>
                      <w:r w:rsidRPr="00F41E7B">
                        <w:rPr>
                          <w:rFonts w:ascii="Open Sans" w:hAnsi="Open Sans" w:cs="Open Sans"/>
                          <w:sz w:val="16"/>
                          <w:szCs w:val="16"/>
                        </w:rPr>
                        <w:t xml:space="preserve">Dersom både sentralbanken og Finansdepartementet, gjennom sine makromodeller, styrer ut ifra disse modellene og at naturlig ledighet er en realitet, vil ikke den økonomiske politikken kunne </w:t>
                      </w:r>
                      <w:r>
                        <w:rPr>
                          <w:rFonts w:ascii="Open Sans" w:hAnsi="Open Sans" w:cs="Open Sans"/>
                          <w:sz w:val="16"/>
                          <w:szCs w:val="16"/>
                        </w:rPr>
                        <w:t xml:space="preserve">få </w:t>
                      </w:r>
                      <w:r w:rsidRPr="00F41E7B">
                        <w:rPr>
                          <w:rFonts w:ascii="Open Sans" w:hAnsi="Open Sans" w:cs="Open Sans"/>
                          <w:sz w:val="16"/>
                          <w:szCs w:val="16"/>
                        </w:rPr>
                        <w:t xml:space="preserve">utbytte </w:t>
                      </w:r>
                      <w:r>
                        <w:rPr>
                          <w:rFonts w:ascii="Open Sans" w:hAnsi="Open Sans" w:cs="Open Sans"/>
                          <w:sz w:val="16"/>
                          <w:szCs w:val="16"/>
                        </w:rPr>
                        <w:t xml:space="preserve">av </w:t>
                      </w:r>
                      <w:r w:rsidRPr="00F41E7B">
                        <w:rPr>
                          <w:rFonts w:ascii="Open Sans" w:hAnsi="Open Sans" w:cs="Open Sans"/>
                          <w:sz w:val="16"/>
                          <w:szCs w:val="16"/>
                        </w:rPr>
                        <w:t xml:space="preserve">hele </w:t>
                      </w:r>
                      <w:r>
                        <w:rPr>
                          <w:rFonts w:ascii="Open Sans" w:hAnsi="Open Sans" w:cs="Open Sans"/>
                          <w:sz w:val="16"/>
                          <w:szCs w:val="16"/>
                        </w:rPr>
                        <w:t xml:space="preserve">det </w:t>
                      </w:r>
                      <w:r w:rsidRPr="00F41E7B">
                        <w:rPr>
                          <w:rFonts w:ascii="Open Sans" w:hAnsi="Open Sans" w:cs="Open Sans"/>
                          <w:sz w:val="16"/>
                          <w:szCs w:val="16"/>
                        </w:rPr>
                        <w:t>spill</w:t>
                      </w:r>
                      <w:r>
                        <w:rPr>
                          <w:rFonts w:ascii="Open Sans" w:hAnsi="Open Sans" w:cs="Open Sans"/>
                          <w:sz w:val="16"/>
                          <w:szCs w:val="16"/>
                        </w:rPr>
                        <w:t>e</w:t>
                      </w:r>
                      <w:r w:rsidRPr="00F41E7B">
                        <w:rPr>
                          <w:rFonts w:ascii="Open Sans" w:hAnsi="Open Sans" w:cs="Open Sans"/>
                          <w:sz w:val="16"/>
                          <w:szCs w:val="16"/>
                        </w:rPr>
                        <w:t>rommet som den norske modellen for lønnsdannelse muliggjør og innrettes mot full sysselsetting som egentlig er det øverste målet for penge- og finanspolitikken. Finanspolitikken kunne bli lagt på tørkel</w:t>
                      </w:r>
                      <w:r>
                        <w:rPr>
                          <w:rFonts w:ascii="Open Sans" w:hAnsi="Open Sans" w:cs="Open Sans"/>
                          <w:sz w:val="16"/>
                          <w:szCs w:val="16"/>
                        </w:rPr>
                        <w:t>o</w:t>
                      </w:r>
                      <w:r w:rsidRPr="00F41E7B">
                        <w:rPr>
                          <w:rFonts w:ascii="Open Sans" w:hAnsi="Open Sans" w:cs="Open Sans"/>
                          <w:sz w:val="16"/>
                          <w:szCs w:val="16"/>
                        </w:rPr>
                        <w:t>ftet, fordi konjunkturreguleringen ifølge hypotesen om naturlig ledighet skal skje gjennom pengepolitikken</w:t>
                      </w:r>
                      <w:r w:rsidR="00310693">
                        <w:rPr>
                          <w:rFonts w:ascii="Open Sans" w:hAnsi="Open Sans" w:cs="Open Sans"/>
                          <w:sz w:val="16"/>
                          <w:szCs w:val="16"/>
                        </w:rPr>
                        <w:t>. I realiteten kan p</w:t>
                      </w:r>
                      <w:r w:rsidRPr="00F41E7B">
                        <w:rPr>
                          <w:rFonts w:ascii="Open Sans" w:hAnsi="Open Sans" w:cs="Open Sans"/>
                          <w:sz w:val="16"/>
                          <w:szCs w:val="16"/>
                        </w:rPr>
                        <w:t>engepolitikken reagere for lite eller for kortvarig på et fall i den samlede etterspørselen, eller overreagere på akselererende inflasjon som følge av et tilbudssjokk og/eller importert inflasjon fra andre land.  I verst</w:t>
                      </w:r>
                      <w:r>
                        <w:rPr>
                          <w:rFonts w:ascii="Open Sans" w:hAnsi="Open Sans" w:cs="Open Sans"/>
                          <w:sz w:val="16"/>
                          <w:szCs w:val="16"/>
                        </w:rPr>
                        <w:t>e</w:t>
                      </w:r>
                      <w:r w:rsidRPr="00F41E7B">
                        <w:rPr>
                          <w:rFonts w:ascii="Open Sans" w:hAnsi="Open Sans" w:cs="Open Sans"/>
                          <w:sz w:val="16"/>
                          <w:szCs w:val="16"/>
                        </w:rPr>
                        <w:t xml:space="preserve"> fall vil </w:t>
                      </w:r>
                      <w:r w:rsidR="00310693">
                        <w:rPr>
                          <w:rFonts w:ascii="Open Sans" w:hAnsi="Open Sans" w:cs="Open Sans"/>
                          <w:sz w:val="16"/>
                          <w:szCs w:val="16"/>
                        </w:rPr>
                        <w:t xml:space="preserve">en slik </w:t>
                      </w:r>
                      <w:r w:rsidRPr="00F41E7B">
                        <w:rPr>
                          <w:rFonts w:ascii="Open Sans" w:hAnsi="Open Sans" w:cs="Open Sans"/>
                          <w:sz w:val="16"/>
                          <w:szCs w:val="16"/>
                        </w:rPr>
                        <w:t>utøvelse av den økonomiske politikken kunne bidra til å underminere hele den norske modellen.</w:t>
                      </w:r>
                    </w:p>
                    <w:p w14:paraId="51058356" w14:textId="77777777" w:rsidR="00CD67E2" w:rsidRPr="00F41E7B" w:rsidRDefault="00CD67E2" w:rsidP="00CD67E2">
                      <w:pPr>
                        <w:spacing w:line="240" w:lineRule="auto"/>
                        <w:jc w:val="both"/>
                        <w:rPr>
                          <w:rFonts w:ascii="Open Sans" w:hAnsi="Open Sans" w:cs="Open Sans"/>
                          <w:i/>
                          <w:iCs/>
                          <w:sz w:val="16"/>
                          <w:szCs w:val="16"/>
                        </w:rPr>
                      </w:pPr>
                      <w:r w:rsidRPr="00F41E7B">
                        <w:rPr>
                          <w:rFonts w:ascii="Open Sans" w:hAnsi="Open Sans" w:cs="Open Sans"/>
                          <w:i/>
                          <w:iCs/>
                          <w:sz w:val="16"/>
                          <w:szCs w:val="16"/>
                        </w:rPr>
                        <w:t xml:space="preserve">Litteraturkilde:  </w:t>
                      </w:r>
                    </w:p>
                    <w:p w14:paraId="5B8C6A1C" w14:textId="77777777" w:rsidR="00CD67E2" w:rsidRDefault="00CD67E2" w:rsidP="00CD67E2">
                      <w:pPr>
                        <w:spacing w:line="240" w:lineRule="auto"/>
                        <w:jc w:val="both"/>
                        <w:rPr>
                          <w:rFonts w:ascii="Open Sans" w:hAnsi="Open Sans" w:cs="Open Sans"/>
                          <w:i/>
                          <w:iCs/>
                          <w:sz w:val="16"/>
                          <w:szCs w:val="16"/>
                        </w:rPr>
                      </w:pPr>
                      <w:r w:rsidRPr="00F41E7B">
                        <w:rPr>
                          <w:rFonts w:ascii="Open Sans" w:hAnsi="Open Sans" w:cs="Open Sans"/>
                          <w:sz w:val="16"/>
                          <w:szCs w:val="16"/>
                        </w:rPr>
                        <w:t xml:space="preserve">Nymoen R., </w:t>
                      </w:r>
                      <w:proofErr w:type="spellStart"/>
                      <w:r w:rsidRPr="00F41E7B">
                        <w:rPr>
                          <w:rFonts w:ascii="Open Sans" w:hAnsi="Open Sans" w:cs="Open Sans"/>
                          <w:sz w:val="16"/>
                          <w:szCs w:val="16"/>
                        </w:rPr>
                        <w:t>Kordt</w:t>
                      </w:r>
                      <w:proofErr w:type="spellEnd"/>
                      <w:r w:rsidRPr="00F41E7B">
                        <w:rPr>
                          <w:rFonts w:ascii="Open Sans" w:hAnsi="Open Sans" w:cs="Open Sans"/>
                          <w:sz w:val="16"/>
                          <w:szCs w:val="16"/>
                        </w:rPr>
                        <w:t xml:space="preserve"> A. og </w:t>
                      </w:r>
                      <w:proofErr w:type="spellStart"/>
                      <w:r w:rsidRPr="00F41E7B">
                        <w:rPr>
                          <w:rFonts w:ascii="Open Sans" w:hAnsi="Open Sans" w:cs="Open Sans"/>
                          <w:sz w:val="16"/>
                          <w:szCs w:val="16"/>
                        </w:rPr>
                        <w:t>Benedictow</w:t>
                      </w:r>
                      <w:proofErr w:type="spellEnd"/>
                      <w:r w:rsidRPr="00F41E7B">
                        <w:rPr>
                          <w:rFonts w:ascii="Open Sans" w:hAnsi="Open Sans" w:cs="Open Sans"/>
                          <w:sz w:val="16"/>
                          <w:szCs w:val="16"/>
                        </w:rPr>
                        <w:t xml:space="preserve"> A. (2022). Økonomisk politikk og den norske modellen for lønnsdannelse. </w:t>
                      </w:r>
                      <w:r w:rsidRPr="00F41E7B">
                        <w:rPr>
                          <w:rFonts w:ascii="Open Sans" w:hAnsi="Open Sans" w:cs="Open Sans"/>
                          <w:i/>
                          <w:iCs/>
                          <w:sz w:val="16"/>
                          <w:szCs w:val="16"/>
                        </w:rPr>
                        <w:t>Samfunnsøkonomisk Analyse.</w:t>
                      </w:r>
                    </w:p>
                    <w:p w14:paraId="34CF9548" w14:textId="2CF7D523" w:rsidR="00CD67E2" w:rsidRPr="00912114" w:rsidRDefault="00CD67E2" w:rsidP="00CD67E2">
                      <w:pPr>
                        <w:spacing w:line="240" w:lineRule="auto"/>
                        <w:jc w:val="both"/>
                        <w:rPr>
                          <w:rFonts w:ascii="Open Sans" w:hAnsi="Open Sans" w:cs="Open Sans"/>
                          <w:sz w:val="16"/>
                          <w:szCs w:val="16"/>
                        </w:rPr>
                      </w:pPr>
                      <w:proofErr w:type="spellStart"/>
                      <w:r>
                        <w:rPr>
                          <w:rFonts w:ascii="Open Sans" w:hAnsi="Open Sans" w:cs="Open Sans"/>
                          <w:sz w:val="16"/>
                          <w:szCs w:val="16"/>
                        </w:rPr>
                        <w:t>Benedictow</w:t>
                      </w:r>
                      <w:proofErr w:type="spellEnd"/>
                      <w:r>
                        <w:rPr>
                          <w:rFonts w:ascii="Open Sans" w:hAnsi="Open Sans" w:cs="Open Sans"/>
                          <w:sz w:val="16"/>
                          <w:szCs w:val="16"/>
                        </w:rPr>
                        <w:t xml:space="preserve">, A. (2019). </w:t>
                      </w:r>
                      <w:hyperlink r:id="rId16" w:history="1">
                        <w:r w:rsidRPr="00DB21BD">
                          <w:rPr>
                            <w:rStyle w:val="Hyperkobling"/>
                            <w:rFonts w:ascii="Open Sans" w:hAnsi="Open Sans" w:cs="Open Sans"/>
                            <w:sz w:val="16"/>
                            <w:szCs w:val="16"/>
                          </w:rPr>
                          <w:t>Hvordan bør sentrale mekanismer i Den norske modellen reflekteres i makroøkonomiske modeller?</w:t>
                        </w:r>
                      </w:hyperlink>
                      <w:r>
                        <w:rPr>
                          <w:rFonts w:ascii="Open Sans" w:hAnsi="Open Sans" w:cs="Open Sans"/>
                          <w:sz w:val="16"/>
                          <w:szCs w:val="16"/>
                        </w:rPr>
                        <w:t xml:space="preserve"> Rapport 8/2019. Samfunnsøkonomisk analyse.</w:t>
                      </w:r>
                    </w:p>
                  </w:txbxContent>
                </v:textbox>
                <w10:wrap anchorx="margin"/>
              </v:shape>
            </w:pict>
          </mc:Fallback>
        </mc:AlternateContent>
      </w:r>
    </w:p>
    <w:bookmarkStart w:id="1" w:name="_Toc103066733" w:displacedByCustomXml="next"/>
    <w:sdt>
      <w:sdtPr>
        <w:alias w:val="Overskrift 1"/>
        <w:tag w:val="Overskrift 1"/>
        <w:id w:val="-1975897156"/>
        <w:placeholder>
          <w:docPart w:val="1EB03A7447884E3FA5CB63913E6EE12A"/>
        </w:placeholder>
        <w:text w:multiLine="1"/>
      </w:sdtPr>
      <w:sdtEndPr/>
      <w:sdtContent>
        <w:p w14:paraId="185336DA" w14:textId="4BE3E374" w:rsidR="00535D93" w:rsidRDefault="001F137D" w:rsidP="009D5A02">
          <w:pPr>
            <w:pStyle w:val="Overskrift1"/>
          </w:pPr>
          <w:r>
            <w:t>Konjunkturvurdering</w:t>
          </w:r>
        </w:p>
      </w:sdtContent>
    </w:sdt>
    <w:bookmarkEnd w:id="1" w:displacedByCustomXml="prev"/>
    <w:p w14:paraId="4B6C0942" w14:textId="18D28211" w:rsidR="00535D93" w:rsidRPr="001F137D" w:rsidRDefault="001F137D" w:rsidP="00535D93">
      <w:pPr>
        <w:pStyle w:val="Ingress"/>
      </w:pPr>
      <w:r w:rsidRPr="001F137D">
        <w:t>LO har utarbeidet en n</w:t>
      </w:r>
      <w:r>
        <w:t>y konjunkturvurdering samt nye prognoser for 2022 og 2023. Noen av prognosene fra LO utgis også i budsjettdokumentene fra Regjeringen.</w:t>
      </w:r>
    </w:p>
    <w:p w14:paraId="0AAC0E6F" w14:textId="26E3E92F" w:rsidR="00535D93" w:rsidRPr="00535D93" w:rsidRDefault="001F137D" w:rsidP="00535D93">
      <w:pPr>
        <w:pStyle w:val="Overskrift2"/>
      </w:pPr>
      <w:bookmarkStart w:id="2" w:name="_Toc103066734"/>
      <w:r>
        <w:t>Norsk økonomi</w:t>
      </w:r>
      <w:bookmarkEnd w:id="2"/>
      <w:r w:rsidR="009D5A02">
        <w:t xml:space="preserve"> </w:t>
      </w:r>
    </w:p>
    <w:p w14:paraId="09F8A2C8" w14:textId="77777777" w:rsidR="00D800CF" w:rsidRDefault="00D800CF" w:rsidP="00D800CF">
      <w:pPr>
        <w:rPr>
          <w:noProof/>
        </w:rPr>
      </w:pPr>
    </w:p>
    <w:p w14:paraId="2F7D293C" w14:textId="77777777" w:rsidR="00E56B2E" w:rsidRPr="00E56B2E" w:rsidRDefault="00E56B2E" w:rsidP="00E56B2E">
      <w:pPr>
        <w:spacing w:after="0" w:line="240" w:lineRule="auto"/>
        <w:rPr>
          <w:rFonts w:ascii="Open Sans" w:eastAsia="Calibri" w:hAnsi="Open Sans" w:cs="Open Sans"/>
          <w:sz w:val="22"/>
          <w:u w:val="single"/>
        </w:rPr>
      </w:pPr>
      <w:r w:rsidRPr="00E56B2E">
        <w:rPr>
          <w:rFonts w:ascii="Open Sans" w:eastAsia="Calibri" w:hAnsi="Open Sans" w:cs="Open Sans"/>
          <w:sz w:val="22"/>
          <w:u w:val="single"/>
        </w:rPr>
        <w:t>Hovedbildet</w:t>
      </w:r>
    </w:p>
    <w:p w14:paraId="6FA3BEE2" w14:textId="329086AC"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Gjennom 2021 ble nær hele nedgangen i den økonomiske aktiviteten under pandemien hentet inn. Utbruddet av omikron-varianten før jul førte imidlertid til et fall i BNP Fastlands-Norge på 1,5 p</w:t>
      </w:r>
      <w:r w:rsidR="007448C8">
        <w:rPr>
          <w:rFonts w:ascii="Open Sans" w:eastAsia="Calibri" w:hAnsi="Open Sans" w:cs="Open Sans"/>
          <w:sz w:val="22"/>
        </w:rPr>
        <w:t>st.</w:t>
      </w:r>
      <w:r w:rsidRPr="00E56B2E">
        <w:rPr>
          <w:rFonts w:ascii="Open Sans" w:eastAsia="Calibri" w:hAnsi="Open Sans" w:cs="Open Sans"/>
          <w:sz w:val="22"/>
        </w:rPr>
        <w:t xml:space="preserve"> samlet for desember 2021 og januar 2022. I februar i år lå BNP for Fastlands-Norge allikevel litt over 2 pst. over nivået for samme tid for 2 år siden, altså før pandemien brøt ut. </w:t>
      </w:r>
    </w:p>
    <w:p w14:paraId="77DEC701" w14:textId="77777777" w:rsidR="00E56B2E" w:rsidRPr="00E56B2E" w:rsidRDefault="00E56B2E" w:rsidP="00E56B2E">
      <w:pPr>
        <w:spacing w:after="0" w:line="240" w:lineRule="auto"/>
        <w:jc w:val="both"/>
        <w:rPr>
          <w:rFonts w:ascii="Open Sans" w:eastAsia="Calibri" w:hAnsi="Open Sans" w:cs="Open Sans"/>
          <w:sz w:val="22"/>
        </w:rPr>
      </w:pPr>
    </w:p>
    <w:p w14:paraId="38856893" w14:textId="77777777" w:rsidR="00E56B2E" w:rsidRPr="00E56B2E" w:rsidRDefault="00E56B2E" w:rsidP="00E56B2E">
      <w:pPr>
        <w:spacing w:after="0" w:line="240" w:lineRule="auto"/>
        <w:jc w:val="center"/>
        <w:rPr>
          <w:rFonts w:ascii="Times New Roman" w:eastAsia="Calibri" w:hAnsi="Times New Roman" w:cs="Times New Roman"/>
          <w:sz w:val="18"/>
          <w:szCs w:val="18"/>
        </w:rPr>
      </w:pPr>
      <w:r w:rsidRPr="00E56B2E">
        <w:rPr>
          <w:rFonts w:ascii="Times New Roman" w:eastAsia="Calibri" w:hAnsi="Times New Roman" w:cs="Times New Roman"/>
          <w:noProof/>
          <w:sz w:val="18"/>
          <w:szCs w:val="18"/>
        </w:rPr>
        <w:drawing>
          <wp:inline distT="0" distB="0" distL="0" distR="0" wp14:anchorId="3B23A327" wp14:editId="6136D560">
            <wp:extent cx="5668010" cy="2825258"/>
            <wp:effectExtent l="0" t="0" r="889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7812" cy="2835128"/>
                    </a:xfrm>
                    <a:prstGeom prst="rect">
                      <a:avLst/>
                    </a:prstGeom>
                    <a:noFill/>
                  </pic:spPr>
                </pic:pic>
              </a:graphicData>
            </a:graphic>
          </wp:inline>
        </w:drawing>
      </w:r>
    </w:p>
    <w:p w14:paraId="7109A8F0" w14:textId="77777777" w:rsidR="00E56B2E" w:rsidRPr="00E56B2E" w:rsidRDefault="00E56B2E" w:rsidP="00E56B2E">
      <w:pPr>
        <w:spacing w:after="0" w:line="240" w:lineRule="auto"/>
        <w:rPr>
          <w:rFonts w:ascii="Times New Roman" w:eastAsia="Calibri" w:hAnsi="Times New Roman" w:cs="Times New Roman"/>
          <w:sz w:val="28"/>
          <w:szCs w:val="28"/>
        </w:rPr>
      </w:pPr>
    </w:p>
    <w:p w14:paraId="1AA301B7" w14:textId="77777777"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Etter nok en gjenåpning i begynnelsen av februar er den norske økonomien igjen på vei tilbake til et normalt aktivitetsnivå.  Smitteverntiltakene ble opphevet, noe som isolert sett tilsier en videre oppgang i den økonomiske aktiviteten.</w:t>
      </w:r>
    </w:p>
    <w:p w14:paraId="7A858D23" w14:textId="77777777" w:rsidR="00E56B2E" w:rsidRPr="00E56B2E" w:rsidRDefault="00E56B2E" w:rsidP="00E56B2E">
      <w:pPr>
        <w:spacing w:after="0" w:line="240" w:lineRule="auto"/>
        <w:jc w:val="both"/>
        <w:rPr>
          <w:rFonts w:ascii="Open Sans" w:eastAsia="Calibri" w:hAnsi="Open Sans" w:cs="Open Sans"/>
          <w:sz w:val="24"/>
          <w:szCs w:val="24"/>
        </w:rPr>
      </w:pPr>
    </w:p>
    <w:p w14:paraId="708478BD" w14:textId="77777777" w:rsidR="00E56B2E" w:rsidRPr="00E56B2E" w:rsidRDefault="00E56B2E" w:rsidP="00E56B2E">
      <w:pPr>
        <w:spacing w:after="0" w:line="240" w:lineRule="auto"/>
        <w:rPr>
          <w:rFonts w:ascii="Open Sans" w:eastAsia="Calibri" w:hAnsi="Open Sans" w:cs="Open Sans"/>
          <w:sz w:val="22"/>
        </w:rPr>
      </w:pPr>
      <w:r w:rsidRPr="00E56B2E">
        <w:rPr>
          <w:rFonts w:ascii="Open Sans" w:eastAsia="Calibri" w:hAnsi="Open Sans" w:cs="Open Sans"/>
          <w:sz w:val="22"/>
        </w:rPr>
        <w:t xml:space="preserve">I arbeidet med konjunkturvurderingen har vi benyttet den makroøkonomiske modellen NAM (Norwegian </w:t>
      </w:r>
      <w:proofErr w:type="spellStart"/>
      <w:r w:rsidRPr="00E56B2E">
        <w:rPr>
          <w:rFonts w:ascii="Open Sans" w:eastAsia="Calibri" w:hAnsi="Open Sans" w:cs="Open Sans"/>
          <w:sz w:val="22"/>
        </w:rPr>
        <w:t>Aggregate</w:t>
      </w:r>
      <w:proofErr w:type="spellEnd"/>
      <w:r w:rsidRPr="00E56B2E">
        <w:rPr>
          <w:rFonts w:ascii="Open Sans" w:eastAsia="Calibri" w:hAnsi="Open Sans" w:cs="Open Sans"/>
          <w:sz w:val="22"/>
        </w:rPr>
        <w:t xml:space="preserve"> Model) til hjelp i analysene. Vårt konjunkturbilde er følgende: </w:t>
      </w:r>
    </w:p>
    <w:p w14:paraId="2518E2C6" w14:textId="77777777" w:rsidR="00E56B2E" w:rsidRPr="00E56B2E" w:rsidRDefault="00E56B2E" w:rsidP="00E56B2E">
      <w:pPr>
        <w:spacing w:after="0" w:line="240" w:lineRule="auto"/>
        <w:rPr>
          <w:rFonts w:ascii="Open Sans" w:eastAsia="Calibri" w:hAnsi="Open Sans" w:cs="Open Sans"/>
          <w:sz w:val="18"/>
          <w:szCs w:val="18"/>
        </w:rPr>
      </w:pPr>
    </w:p>
    <w:p w14:paraId="46C08000" w14:textId="77777777" w:rsidR="00E56B2E" w:rsidRPr="00E56B2E" w:rsidRDefault="00E56B2E" w:rsidP="00E56B2E">
      <w:pPr>
        <w:numPr>
          <w:ilvl w:val="0"/>
          <w:numId w:val="2"/>
        </w:numPr>
        <w:spacing w:after="0" w:line="240" w:lineRule="auto"/>
        <w:contextualSpacing/>
        <w:jc w:val="both"/>
        <w:rPr>
          <w:rFonts w:ascii="Open Sans" w:eastAsia="DengXian" w:hAnsi="Open Sans" w:cs="Open Sans"/>
          <w:sz w:val="22"/>
          <w:lang w:eastAsia="zh-CN"/>
        </w:rPr>
      </w:pPr>
      <w:r w:rsidRPr="00E56B2E">
        <w:rPr>
          <w:rFonts w:ascii="Open Sans" w:eastAsia="DengXian" w:hAnsi="Open Sans" w:cs="Open Sans"/>
          <w:sz w:val="22"/>
          <w:lang w:eastAsia="zh-CN"/>
        </w:rPr>
        <w:t>Fastlandsøkonomien vil vokse med 3,5 pst. i inneværende år og 2,6 pst. i 2023.  Økte oljeinvesteringer i 2023, økt konsum og økt eksport vil bidra til å trekke veksten i norsk økonomi opp.</w:t>
      </w:r>
    </w:p>
    <w:p w14:paraId="61FB5112" w14:textId="77777777" w:rsidR="00E56B2E" w:rsidRPr="00E56B2E" w:rsidRDefault="00E56B2E" w:rsidP="00E56B2E">
      <w:pPr>
        <w:spacing w:after="0" w:line="240" w:lineRule="auto"/>
        <w:jc w:val="both"/>
        <w:rPr>
          <w:rFonts w:ascii="Open Sans" w:eastAsia="Calibri" w:hAnsi="Open Sans" w:cs="Open Sans"/>
          <w:sz w:val="22"/>
        </w:rPr>
      </w:pPr>
    </w:p>
    <w:p w14:paraId="01620DEA" w14:textId="40D58330" w:rsidR="00E56B2E" w:rsidRPr="00E56B2E" w:rsidRDefault="00E56B2E" w:rsidP="00E56B2E">
      <w:pPr>
        <w:numPr>
          <w:ilvl w:val="0"/>
          <w:numId w:val="2"/>
        </w:numPr>
        <w:spacing w:after="0" w:line="240" w:lineRule="auto"/>
        <w:contextualSpacing/>
        <w:jc w:val="both"/>
        <w:rPr>
          <w:rFonts w:ascii="Open Sans" w:eastAsia="DengXian" w:hAnsi="Open Sans" w:cs="Open Sans"/>
          <w:sz w:val="22"/>
          <w:lang w:eastAsia="zh-CN"/>
        </w:rPr>
      </w:pPr>
      <w:r w:rsidRPr="00E56B2E">
        <w:rPr>
          <w:rFonts w:ascii="Open Sans" w:eastAsia="DengXian" w:hAnsi="Open Sans" w:cs="Open Sans"/>
          <w:sz w:val="22"/>
          <w:lang w:eastAsia="zh-CN"/>
        </w:rPr>
        <w:t xml:space="preserve">Usikkerheten om den økonomiske utviklingen i Norge er </w:t>
      </w:r>
      <w:r w:rsidRPr="00E56B2E">
        <w:rPr>
          <w:rFonts w:ascii="Open Sans" w:eastAsia="DengXian" w:hAnsi="Open Sans" w:cs="Open Sans"/>
          <w:b/>
          <w:bCs/>
          <w:sz w:val="22"/>
          <w:lang w:eastAsia="zh-CN"/>
        </w:rPr>
        <w:t>ekstraordinær</w:t>
      </w:r>
      <w:r w:rsidRPr="00E56B2E">
        <w:rPr>
          <w:rFonts w:ascii="Open Sans" w:eastAsia="DengXian" w:hAnsi="Open Sans" w:cs="Open Sans"/>
          <w:sz w:val="22"/>
          <w:lang w:eastAsia="zh-CN"/>
        </w:rPr>
        <w:t>. Usikkerheten knytter seg først og fremst til pandemien (fortsatt mange og strenge smitteverntiltak i mange land), krigen i Ukraina, sanksjonene mot Russland og effektene dette har på energi</w:t>
      </w:r>
      <w:r w:rsidR="00FB5168">
        <w:rPr>
          <w:rFonts w:ascii="Open Sans" w:eastAsia="DengXian" w:hAnsi="Open Sans" w:cs="Open Sans"/>
          <w:sz w:val="22"/>
          <w:lang w:eastAsia="zh-CN"/>
        </w:rPr>
        <w:t>-</w:t>
      </w:r>
      <w:r w:rsidRPr="00E56B2E">
        <w:rPr>
          <w:rFonts w:ascii="Open Sans" w:eastAsia="DengXian" w:hAnsi="Open Sans" w:cs="Open Sans"/>
          <w:sz w:val="22"/>
          <w:lang w:eastAsia="zh-CN"/>
        </w:rPr>
        <w:t xml:space="preserve"> og matpriser samt flaskehalser i produksjonen av varer og tjenester som nå preger internasjonal økonomi. Vi har i vår konjunkturvurdering lagt til grunn at konsekvensene av krigshandlingene blir kortvarige mens enkelte sanksjoner mot Russland videreføres på noe lenger sikt. Samtidig er det forutsatt at flaskehalsene i internasjonal økonomi er midlertidige. Dette er imidlertid optimistiske forutsetninger. Krigen kan </w:t>
      </w:r>
      <w:r w:rsidR="00DA0064">
        <w:rPr>
          <w:rFonts w:ascii="Open Sans" w:eastAsia="DengXian" w:hAnsi="Open Sans" w:cs="Open Sans"/>
          <w:sz w:val="22"/>
          <w:lang w:eastAsia="zh-CN"/>
        </w:rPr>
        <w:t>bli langvarig</w:t>
      </w:r>
      <w:r w:rsidRPr="00E56B2E">
        <w:rPr>
          <w:rFonts w:ascii="Open Sans" w:eastAsia="DengXian" w:hAnsi="Open Sans" w:cs="Open Sans"/>
          <w:sz w:val="22"/>
          <w:lang w:eastAsia="zh-CN"/>
        </w:rPr>
        <w:t xml:space="preserve"> og en full boikott som også stanser russisk gass til Europa vil kunne føre til alvorlig tilbakeslag.  Vi har derfor i egen boks</w:t>
      </w:r>
      <w:r w:rsidR="00DA0064">
        <w:rPr>
          <w:rFonts w:ascii="Open Sans" w:eastAsia="DengXian" w:hAnsi="Open Sans" w:cs="Open Sans"/>
          <w:sz w:val="22"/>
          <w:lang w:eastAsia="zh-CN"/>
        </w:rPr>
        <w:t xml:space="preserve"> mot slutten av kapittelet</w:t>
      </w:r>
      <w:r w:rsidRPr="00E56B2E">
        <w:rPr>
          <w:rFonts w:ascii="Open Sans" w:eastAsia="DengXian" w:hAnsi="Open Sans" w:cs="Open Sans"/>
          <w:sz w:val="22"/>
          <w:lang w:eastAsia="zh-CN"/>
        </w:rPr>
        <w:t xml:space="preserve"> (</w:t>
      </w:r>
      <w:r w:rsidR="00DA0064">
        <w:rPr>
          <w:rFonts w:ascii="Open Sans" w:eastAsia="DengXian" w:hAnsi="Open Sans" w:cs="Open Sans"/>
          <w:sz w:val="22"/>
          <w:lang w:eastAsia="zh-CN"/>
        </w:rPr>
        <w:t>B</w:t>
      </w:r>
      <w:r w:rsidRPr="00E56B2E">
        <w:rPr>
          <w:rFonts w:ascii="Open Sans" w:eastAsia="DengXian" w:hAnsi="Open Sans" w:cs="Open Sans"/>
          <w:sz w:val="22"/>
          <w:lang w:eastAsia="zh-CN"/>
        </w:rPr>
        <w:t xml:space="preserve">oks </w:t>
      </w:r>
      <w:r w:rsidR="00DA0064">
        <w:rPr>
          <w:rFonts w:ascii="Open Sans" w:eastAsia="DengXian" w:hAnsi="Open Sans" w:cs="Open Sans"/>
          <w:sz w:val="22"/>
          <w:lang w:eastAsia="zh-CN"/>
        </w:rPr>
        <w:t>3</w:t>
      </w:r>
      <w:r w:rsidRPr="00E56B2E">
        <w:rPr>
          <w:rFonts w:ascii="Open Sans" w:eastAsia="DengXian" w:hAnsi="Open Sans" w:cs="Open Sans"/>
          <w:sz w:val="22"/>
          <w:lang w:eastAsia="zh-CN"/>
        </w:rPr>
        <w:t>) vist til en alternativ beregning utført av SSB om hvordan norsk økonomi påvirkes hvis krigen, sanksjonene og flaskehalsene i internasjonal økonomi blir mer langvarig.</w:t>
      </w:r>
    </w:p>
    <w:p w14:paraId="29BC6C7A" w14:textId="77777777" w:rsidR="00E56B2E" w:rsidRPr="00E56B2E" w:rsidRDefault="00E56B2E" w:rsidP="00E56B2E">
      <w:pPr>
        <w:spacing w:after="0" w:line="240" w:lineRule="auto"/>
        <w:jc w:val="both"/>
        <w:rPr>
          <w:rFonts w:ascii="Times New Roman" w:eastAsia="Calibri" w:hAnsi="Times New Roman" w:cs="Times New Roman"/>
          <w:sz w:val="28"/>
          <w:szCs w:val="28"/>
        </w:rPr>
      </w:pPr>
    </w:p>
    <w:p w14:paraId="3C9A4D14" w14:textId="1322B11D" w:rsidR="00E56B2E" w:rsidRPr="00E56B2E" w:rsidRDefault="006E705F" w:rsidP="008779E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8806362" wp14:editId="1249AEB0">
            <wp:extent cx="5719313" cy="2558714"/>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805" cy="2566987"/>
                    </a:xfrm>
                    <a:prstGeom prst="rect">
                      <a:avLst/>
                    </a:prstGeom>
                    <a:noFill/>
                  </pic:spPr>
                </pic:pic>
              </a:graphicData>
            </a:graphic>
          </wp:inline>
        </w:drawing>
      </w:r>
    </w:p>
    <w:p w14:paraId="068BC58F" w14:textId="61A1C3B1" w:rsidR="00E56B2E" w:rsidRPr="00E56B2E" w:rsidRDefault="00E56B2E" w:rsidP="00E56B2E">
      <w:pPr>
        <w:spacing w:after="0" w:line="240" w:lineRule="auto"/>
        <w:jc w:val="center"/>
        <w:rPr>
          <w:rFonts w:ascii="Times New Roman" w:eastAsia="Calibri" w:hAnsi="Times New Roman" w:cs="Times New Roman"/>
          <w:sz w:val="28"/>
          <w:szCs w:val="28"/>
        </w:rPr>
      </w:pPr>
    </w:p>
    <w:p w14:paraId="7769C605" w14:textId="7ED9C7CA" w:rsidR="00E56B2E" w:rsidRPr="00592290" w:rsidRDefault="00E56B2E" w:rsidP="00592290">
      <w:pPr>
        <w:numPr>
          <w:ilvl w:val="0"/>
          <w:numId w:val="2"/>
        </w:numPr>
        <w:spacing w:after="0" w:line="240" w:lineRule="auto"/>
        <w:contextualSpacing/>
        <w:jc w:val="both"/>
        <w:rPr>
          <w:rFonts w:ascii="Open Sans" w:eastAsia="DengXian" w:hAnsi="Open Sans" w:cs="Open Sans"/>
          <w:sz w:val="22"/>
          <w:lang w:eastAsia="zh-CN"/>
        </w:rPr>
      </w:pPr>
      <w:r w:rsidRPr="00E56B2E">
        <w:rPr>
          <w:rFonts w:ascii="Open Sans" w:eastAsia="DengXian" w:hAnsi="Open Sans" w:cs="Open Sans"/>
          <w:sz w:val="22"/>
          <w:lang w:eastAsia="zh-CN"/>
        </w:rPr>
        <w:t>Arbeidsledigheten målt ved Arbeidskraftsundersøkelsen (AKU) er nå lavere enn gjennomsnittet for tiårsperioden 2010-2019.  At smitteverntiltakene nå er opphevet i Norge åpner for at også sysselsettingen i de næringene som ennå ikke har hentet seg inn vil normaliseres. I 2022 og 2023 vil AKU-ledigheten ifølge våre beregninger ligge på 3,5 p</w:t>
      </w:r>
      <w:r w:rsidR="007448C8">
        <w:rPr>
          <w:rFonts w:ascii="Open Sans" w:eastAsia="DengXian" w:hAnsi="Open Sans" w:cs="Open Sans"/>
          <w:sz w:val="22"/>
          <w:lang w:eastAsia="zh-CN"/>
        </w:rPr>
        <w:t>st.</w:t>
      </w:r>
      <w:r w:rsidRPr="00E56B2E">
        <w:rPr>
          <w:rFonts w:ascii="Open Sans" w:eastAsia="DengXian" w:hAnsi="Open Sans" w:cs="Open Sans"/>
          <w:sz w:val="22"/>
          <w:lang w:eastAsia="zh-CN"/>
        </w:rPr>
        <w:t xml:space="preserve"> som årsgjennomsnitt. Antall sysselsatte (i nasjonalregnskap</w:t>
      </w:r>
      <w:r w:rsidR="00EE7D5E">
        <w:rPr>
          <w:rFonts w:ascii="Open Sans" w:eastAsia="DengXian" w:hAnsi="Open Sans" w:cs="Open Sans"/>
          <w:sz w:val="22"/>
          <w:lang w:eastAsia="zh-CN"/>
        </w:rPr>
        <w:t>elig</w:t>
      </w:r>
      <w:r w:rsidR="00F926DB">
        <w:rPr>
          <w:rFonts w:ascii="Open Sans" w:eastAsia="DengXian" w:hAnsi="Open Sans" w:cs="Open Sans"/>
          <w:sz w:val="22"/>
          <w:lang w:eastAsia="zh-CN"/>
        </w:rPr>
        <w:t xml:space="preserve"> </w:t>
      </w:r>
      <w:r w:rsidRPr="00E56B2E">
        <w:rPr>
          <w:rFonts w:ascii="Open Sans" w:eastAsia="DengXian" w:hAnsi="Open Sans" w:cs="Open Sans"/>
          <w:sz w:val="22"/>
          <w:lang w:eastAsia="zh-CN"/>
        </w:rPr>
        <w:t xml:space="preserve">forstand) ventes å øke med 2,7 pst. i 2022 og ytterligere 1 pst. i 2023.  Arbeidsmarkedssituasjonen omtales nærmere </w:t>
      </w:r>
      <w:r w:rsidRPr="00394BC2">
        <w:rPr>
          <w:rFonts w:ascii="Open Sans" w:eastAsia="DengXian" w:hAnsi="Open Sans" w:cs="Open Sans"/>
          <w:sz w:val="22"/>
          <w:lang w:eastAsia="zh-CN"/>
        </w:rPr>
        <w:t xml:space="preserve">i kap. </w:t>
      </w:r>
      <w:r w:rsidR="00394BC2">
        <w:rPr>
          <w:rFonts w:ascii="Open Sans" w:eastAsia="DengXian" w:hAnsi="Open Sans" w:cs="Open Sans"/>
          <w:sz w:val="22"/>
          <w:lang w:eastAsia="zh-CN"/>
        </w:rPr>
        <w:t>3</w:t>
      </w:r>
      <w:r w:rsidRPr="00E56B2E">
        <w:rPr>
          <w:rFonts w:ascii="Open Sans" w:eastAsia="DengXian" w:hAnsi="Open Sans" w:cs="Open Sans"/>
          <w:sz w:val="22"/>
          <w:lang w:eastAsia="zh-CN"/>
        </w:rPr>
        <w:t>.</w:t>
      </w:r>
    </w:p>
    <w:p w14:paraId="03BCBF39" w14:textId="77777777" w:rsidR="00E56B2E" w:rsidRPr="00E56B2E" w:rsidRDefault="00E56B2E" w:rsidP="00E56B2E">
      <w:pPr>
        <w:spacing w:after="0" w:line="240" w:lineRule="auto"/>
        <w:jc w:val="center"/>
        <w:rPr>
          <w:rFonts w:ascii="Times New Roman" w:eastAsia="Calibri" w:hAnsi="Times New Roman" w:cs="Times New Roman"/>
          <w:sz w:val="28"/>
          <w:szCs w:val="28"/>
        </w:rPr>
      </w:pPr>
      <w:r w:rsidRPr="00E56B2E">
        <w:rPr>
          <w:rFonts w:ascii="Times New Roman" w:eastAsia="Calibri" w:hAnsi="Times New Roman" w:cs="Times New Roman"/>
          <w:noProof/>
          <w:sz w:val="28"/>
          <w:szCs w:val="28"/>
        </w:rPr>
        <w:lastRenderedPageBreak/>
        <w:drawing>
          <wp:inline distT="0" distB="0" distL="0" distR="0" wp14:anchorId="66D54383" wp14:editId="1E8BECA8">
            <wp:extent cx="5896963" cy="2613804"/>
            <wp:effectExtent l="0" t="0" r="889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49" cy="2627716"/>
                    </a:xfrm>
                    <a:prstGeom prst="rect">
                      <a:avLst/>
                    </a:prstGeom>
                    <a:noFill/>
                  </pic:spPr>
                </pic:pic>
              </a:graphicData>
            </a:graphic>
          </wp:inline>
        </w:drawing>
      </w:r>
    </w:p>
    <w:p w14:paraId="7B00A154" w14:textId="77777777" w:rsidR="00E56B2E" w:rsidRPr="00E56B2E" w:rsidRDefault="00E56B2E" w:rsidP="00E56B2E">
      <w:pPr>
        <w:spacing w:after="0" w:line="240" w:lineRule="auto"/>
        <w:rPr>
          <w:rFonts w:ascii="Times New Roman" w:eastAsia="Calibri" w:hAnsi="Times New Roman" w:cs="Times New Roman"/>
          <w:sz w:val="16"/>
          <w:szCs w:val="16"/>
          <w:u w:val="single"/>
        </w:rPr>
      </w:pPr>
    </w:p>
    <w:p w14:paraId="623A197C" w14:textId="3FEAF2B2" w:rsidR="00E56B2E" w:rsidRPr="00E56B2E" w:rsidRDefault="00E56B2E" w:rsidP="00E56B2E">
      <w:pPr>
        <w:numPr>
          <w:ilvl w:val="0"/>
          <w:numId w:val="2"/>
        </w:numPr>
        <w:spacing w:after="0" w:line="240" w:lineRule="auto"/>
        <w:contextualSpacing/>
        <w:jc w:val="both"/>
        <w:rPr>
          <w:rFonts w:ascii="Open Sans" w:eastAsia="DengXian" w:hAnsi="Open Sans" w:cs="Open Sans"/>
          <w:sz w:val="22"/>
          <w:lang w:eastAsia="zh-CN"/>
        </w:rPr>
      </w:pPr>
      <w:r w:rsidRPr="00E56B2E">
        <w:rPr>
          <w:rFonts w:ascii="Open Sans" w:eastAsia="DengXian" w:hAnsi="Open Sans" w:cs="Open Sans"/>
          <w:sz w:val="22"/>
          <w:lang w:eastAsia="zh-CN"/>
        </w:rPr>
        <w:t xml:space="preserve">Det var et mindre fall i produktiviteten, målt ved BNP per utført timeverk, i fastlandsøkonomien i 2020 som følge av koronakrisen. Produktiviteten (differansen mellom blå og </w:t>
      </w:r>
      <w:r w:rsidR="007918C9">
        <w:rPr>
          <w:rFonts w:ascii="Open Sans" w:eastAsia="DengXian" w:hAnsi="Open Sans" w:cs="Open Sans"/>
          <w:sz w:val="22"/>
          <w:lang w:eastAsia="zh-CN"/>
        </w:rPr>
        <w:t>oransje</w:t>
      </w:r>
      <w:r w:rsidRPr="00E56B2E">
        <w:rPr>
          <w:rFonts w:ascii="Open Sans" w:eastAsia="DengXian" w:hAnsi="Open Sans" w:cs="Open Sans"/>
          <w:sz w:val="22"/>
          <w:lang w:eastAsia="zh-CN"/>
        </w:rPr>
        <w:t xml:space="preserve"> stolper i diagrammet nedenfor) i fastlandsøkonomien viste til en markant vekst gjennom 2021, og det er utsikter til fortsatt god vekst i produktiviteten for Fastlands</w:t>
      </w:r>
      <w:r w:rsidR="0060667F">
        <w:rPr>
          <w:rFonts w:ascii="Open Sans" w:eastAsia="DengXian" w:hAnsi="Open Sans" w:cs="Open Sans"/>
          <w:sz w:val="22"/>
          <w:lang w:eastAsia="zh-CN"/>
        </w:rPr>
        <w:t>-</w:t>
      </w:r>
      <w:r w:rsidRPr="00E56B2E">
        <w:rPr>
          <w:rFonts w:ascii="Open Sans" w:eastAsia="DengXian" w:hAnsi="Open Sans" w:cs="Open Sans"/>
          <w:sz w:val="22"/>
          <w:lang w:eastAsia="zh-CN"/>
        </w:rPr>
        <w:t>Norge framover. Våre modellberegninger gir betydelig produktivitetsvekst framover når etterspørsel og investeringer tar seg opp i 2022 og 2023 og det gir rom for vekst i reallønn framover.</w:t>
      </w:r>
    </w:p>
    <w:p w14:paraId="69F0A18E" w14:textId="77777777" w:rsidR="00E56B2E" w:rsidRPr="00E56B2E" w:rsidRDefault="00E56B2E" w:rsidP="00E56B2E">
      <w:pPr>
        <w:spacing w:after="0" w:line="240" w:lineRule="auto"/>
        <w:ind w:left="720"/>
        <w:contextualSpacing/>
        <w:rPr>
          <w:rFonts w:ascii="Open Sans" w:eastAsia="DengXian" w:hAnsi="Open Sans" w:cs="Open Sans"/>
          <w:sz w:val="22"/>
          <w:lang w:eastAsia="zh-CN"/>
        </w:rPr>
      </w:pPr>
    </w:p>
    <w:p w14:paraId="4F72B9EC" w14:textId="77777777" w:rsidR="00E56B2E" w:rsidRPr="00E56B2E" w:rsidRDefault="00E56B2E" w:rsidP="00E56B2E">
      <w:pPr>
        <w:spacing w:after="0" w:line="240" w:lineRule="auto"/>
        <w:jc w:val="center"/>
        <w:rPr>
          <w:rFonts w:ascii="Open Sans" w:eastAsia="Calibri" w:hAnsi="Open Sans" w:cs="Open Sans"/>
          <w:sz w:val="22"/>
          <w:u w:val="single"/>
        </w:rPr>
      </w:pPr>
      <w:r w:rsidRPr="00E56B2E">
        <w:rPr>
          <w:rFonts w:ascii="Open Sans" w:eastAsia="Calibri" w:hAnsi="Open Sans" w:cs="Open Sans"/>
          <w:noProof/>
          <w:sz w:val="22"/>
          <w:u w:val="single"/>
        </w:rPr>
        <w:drawing>
          <wp:inline distT="0" distB="0" distL="0" distR="0" wp14:anchorId="7902AA5E" wp14:editId="764EC0F8">
            <wp:extent cx="5665527" cy="341606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999" cy="3466390"/>
                    </a:xfrm>
                    <a:prstGeom prst="rect">
                      <a:avLst/>
                    </a:prstGeom>
                    <a:noFill/>
                  </pic:spPr>
                </pic:pic>
              </a:graphicData>
            </a:graphic>
          </wp:inline>
        </w:drawing>
      </w:r>
    </w:p>
    <w:p w14:paraId="7F537DCE" w14:textId="77777777" w:rsidR="00E56B2E" w:rsidRPr="00E56B2E" w:rsidRDefault="00E56B2E" w:rsidP="00E56B2E">
      <w:pPr>
        <w:spacing w:after="0" w:line="240" w:lineRule="auto"/>
        <w:rPr>
          <w:rFonts w:ascii="Open Sans" w:eastAsia="Calibri" w:hAnsi="Open Sans" w:cs="Open Sans"/>
          <w:sz w:val="18"/>
          <w:szCs w:val="18"/>
          <w:u w:val="single"/>
        </w:rPr>
      </w:pPr>
    </w:p>
    <w:p w14:paraId="410E3754" w14:textId="77777777" w:rsidR="00E56B2E" w:rsidRPr="00E56B2E" w:rsidRDefault="00E56B2E" w:rsidP="00E56B2E">
      <w:pPr>
        <w:spacing w:after="0" w:line="240" w:lineRule="auto"/>
        <w:rPr>
          <w:rFonts w:ascii="Open Sans" w:eastAsia="Calibri" w:hAnsi="Open Sans" w:cs="Open Sans"/>
          <w:sz w:val="10"/>
          <w:szCs w:val="10"/>
          <w:u w:val="single"/>
        </w:rPr>
      </w:pPr>
    </w:p>
    <w:p w14:paraId="2695A658" w14:textId="77777777" w:rsidR="00E718B6" w:rsidRDefault="00E718B6" w:rsidP="00E56B2E">
      <w:pPr>
        <w:spacing w:after="0" w:line="240" w:lineRule="auto"/>
        <w:rPr>
          <w:rFonts w:ascii="Open Sans" w:eastAsia="Calibri" w:hAnsi="Open Sans" w:cs="Open Sans"/>
          <w:sz w:val="22"/>
          <w:u w:val="single"/>
        </w:rPr>
      </w:pPr>
    </w:p>
    <w:p w14:paraId="6FB16CA4" w14:textId="77777777" w:rsidR="00E718B6" w:rsidRDefault="00E718B6" w:rsidP="00E56B2E">
      <w:pPr>
        <w:spacing w:after="0" w:line="240" w:lineRule="auto"/>
        <w:rPr>
          <w:rFonts w:ascii="Open Sans" w:eastAsia="Calibri" w:hAnsi="Open Sans" w:cs="Open Sans"/>
          <w:sz w:val="22"/>
          <w:u w:val="single"/>
        </w:rPr>
      </w:pPr>
    </w:p>
    <w:p w14:paraId="596D7625" w14:textId="561B484C" w:rsidR="00E56B2E" w:rsidRPr="00E56B2E" w:rsidRDefault="00E56B2E" w:rsidP="00E56B2E">
      <w:pPr>
        <w:spacing w:after="0" w:line="240" w:lineRule="auto"/>
        <w:rPr>
          <w:rFonts w:ascii="Open Sans" w:eastAsia="Calibri" w:hAnsi="Open Sans" w:cs="Open Sans"/>
          <w:sz w:val="22"/>
          <w:u w:val="single"/>
        </w:rPr>
      </w:pPr>
      <w:r w:rsidRPr="00E56B2E">
        <w:rPr>
          <w:rFonts w:ascii="Open Sans" w:eastAsia="Calibri" w:hAnsi="Open Sans" w:cs="Open Sans"/>
          <w:sz w:val="22"/>
          <w:u w:val="single"/>
        </w:rPr>
        <w:lastRenderedPageBreak/>
        <w:t>Politiske forutsetninger</w:t>
      </w:r>
    </w:p>
    <w:p w14:paraId="575A411B" w14:textId="4EF38F6D"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For 2023 antar vi at oljepengebruken, målt ved det strukturelle oljekorrigerte underskuddet som prosentandel av oljefondet, holder seg litt under 3 p</w:t>
      </w:r>
      <w:r w:rsidR="007448C8">
        <w:rPr>
          <w:rFonts w:ascii="Open Sans" w:eastAsia="Calibri" w:hAnsi="Open Sans" w:cs="Open Sans"/>
          <w:sz w:val="22"/>
        </w:rPr>
        <w:t>st</w:t>
      </w:r>
      <w:r w:rsidRPr="00E56B2E">
        <w:rPr>
          <w:rFonts w:ascii="Open Sans" w:eastAsia="Calibri" w:hAnsi="Open Sans" w:cs="Open Sans"/>
          <w:sz w:val="22"/>
        </w:rPr>
        <w:t xml:space="preserve">.  Mange finanspolitiske tiltak ble iverksatt for å motvirke de økonomiske effektene av pandemien. Det strukturelle oljekorrigerte budsjettunderskuddet (eller såkalt "bruk av oljepenger") for 2021 </w:t>
      </w:r>
      <w:r w:rsidR="00591AF9">
        <w:rPr>
          <w:rFonts w:ascii="Open Sans" w:eastAsia="Calibri" w:hAnsi="Open Sans" w:cs="Open Sans"/>
          <w:sz w:val="22"/>
        </w:rPr>
        <w:t>var</w:t>
      </w:r>
      <w:r w:rsidRPr="00E56B2E">
        <w:rPr>
          <w:rFonts w:ascii="Open Sans" w:eastAsia="Calibri" w:hAnsi="Open Sans" w:cs="Open Sans"/>
          <w:sz w:val="22"/>
        </w:rPr>
        <w:t xml:space="preserve"> i Revidert Nasjonalbudsjett 2021 anslått til 402,6 mrd. kroner. Dette tilsvarer 3,7 pst. av oljefondets markedsverdi ved inngangen til året. Handlingsregelen tilsier at bruken av oljeinntekter over tid skal utgjøre 3 pst. av oljefondet, men det skal også legges stor vekt på å jevne ut svingninger i økonomien for å sikre god kapasitetsutnyttelse og lav arbeidsledighet.  Ettersom samfunnet allerede er gjenåpnet, </w:t>
      </w:r>
      <w:r w:rsidR="004E5839">
        <w:rPr>
          <w:rFonts w:ascii="Open Sans" w:eastAsia="Calibri" w:hAnsi="Open Sans" w:cs="Open Sans"/>
          <w:sz w:val="22"/>
        </w:rPr>
        <w:t>er de</w:t>
      </w:r>
      <w:r w:rsidRPr="00E56B2E">
        <w:rPr>
          <w:rFonts w:ascii="Open Sans" w:eastAsia="Calibri" w:hAnsi="Open Sans" w:cs="Open Sans"/>
          <w:sz w:val="22"/>
        </w:rPr>
        <w:t xml:space="preserve"> fleste ekstraordinære koronatiltakene </w:t>
      </w:r>
      <w:r w:rsidR="004E5839">
        <w:rPr>
          <w:rFonts w:ascii="Open Sans" w:eastAsia="Calibri" w:hAnsi="Open Sans" w:cs="Open Sans"/>
          <w:sz w:val="22"/>
        </w:rPr>
        <w:t>allerede</w:t>
      </w:r>
      <w:r w:rsidRPr="00E56B2E">
        <w:rPr>
          <w:rFonts w:ascii="Open Sans" w:eastAsia="Calibri" w:hAnsi="Open Sans" w:cs="Open Sans"/>
          <w:sz w:val="22"/>
        </w:rPr>
        <w:t xml:space="preserve"> fase</w:t>
      </w:r>
      <w:r w:rsidR="004E5839">
        <w:rPr>
          <w:rFonts w:ascii="Open Sans" w:eastAsia="Calibri" w:hAnsi="Open Sans" w:cs="Open Sans"/>
          <w:sz w:val="22"/>
        </w:rPr>
        <w:t>t</w:t>
      </w:r>
      <w:r w:rsidRPr="00E56B2E">
        <w:rPr>
          <w:rFonts w:ascii="Open Sans" w:eastAsia="Calibri" w:hAnsi="Open Sans" w:cs="Open Sans"/>
          <w:sz w:val="22"/>
        </w:rPr>
        <w:t xml:space="preserve"> ut. Dette medfører at budsjettbalansen reduseres til i underkant av 3 pst. av fondet allerede i 2022.</w:t>
      </w:r>
    </w:p>
    <w:p w14:paraId="3C809694" w14:textId="77777777" w:rsidR="00E56B2E" w:rsidRPr="00E56B2E" w:rsidRDefault="00E56B2E" w:rsidP="00E56B2E">
      <w:pPr>
        <w:spacing w:after="0" w:line="240" w:lineRule="auto"/>
        <w:jc w:val="both"/>
        <w:rPr>
          <w:rFonts w:ascii="Open Sans" w:eastAsia="Calibri" w:hAnsi="Open Sans" w:cs="Open Sans"/>
          <w:sz w:val="22"/>
        </w:rPr>
      </w:pPr>
    </w:p>
    <w:p w14:paraId="2C1D8994" w14:textId="2FD4BE0A"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Utfasing</w:t>
      </w:r>
      <w:r w:rsidR="0063082E">
        <w:rPr>
          <w:rFonts w:ascii="Open Sans" w:eastAsia="Calibri" w:hAnsi="Open Sans" w:cs="Open Sans"/>
          <w:sz w:val="22"/>
        </w:rPr>
        <w:t>en</w:t>
      </w:r>
      <w:r w:rsidRPr="00E56B2E">
        <w:rPr>
          <w:rFonts w:ascii="Open Sans" w:eastAsia="Calibri" w:hAnsi="Open Sans" w:cs="Open Sans"/>
          <w:sz w:val="22"/>
        </w:rPr>
        <w:t xml:space="preserve"> av smitteverntiltak normaliserte det offentlige konsummønsteret gjennom siste halvår av 2021. Tiltakene som er vedtatt eller foreslått av Regjeringen for å skjerme mot høye strømutgifter utgjør nær 13 milliarder kroner i 2022 (bokført), hvorav 10,2 milliarder kroner er vedtatt eller foreslått etter saldert budsjett. Videreføringen av strømstøtteordningen som ble varslet i mars kommer i tillegg.  Høye strømpriser bringer imidlertid enda mer penger inn i statskassen. Anslått underskudd i 2022 utgjør 2,9 p</w:t>
      </w:r>
      <w:r w:rsidR="007448C8">
        <w:rPr>
          <w:rFonts w:ascii="Open Sans" w:eastAsia="Calibri" w:hAnsi="Open Sans" w:cs="Open Sans"/>
          <w:sz w:val="22"/>
        </w:rPr>
        <w:t>st.</w:t>
      </w:r>
      <w:r w:rsidRPr="00E56B2E">
        <w:rPr>
          <w:rFonts w:ascii="Open Sans" w:eastAsia="Calibri" w:hAnsi="Open Sans" w:cs="Open Sans"/>
          <w:sz w:val="22"/>
        </w:rPr>
        <w:t xml:space="preserve"> av Statens pensjonsfond utland, omtrent på handlingsregelen for finanspolitikken. Vekst i fondsverdien de senere årene innebærer imidlertid økt oljepengebruk målt i kroner. Oljepengebruken vil i 2022 utgjøre 10,4 p</w:t>
      </w:r>
      <w:r w:rsidR="007448C8">
        <w:rPr>
          <w:rFonts w:ascii="Open Sans" w:eastAsia="Calibri" w:hAnsi="Open Sans" w:cs="Open Sans"/>
          <w:sz w:val="22"/>
        </w:rPr>
        <w:t>st.</w:t>
      </w:r>
      <w:r w:rsidRPr="00E56B2E">
        <w:rPr>
          <w:rFonts w:ascii="Open Sans" w:eastAsia="Calibri" w:hAnsi="Open Sans" w:cs="Open Sans"/>
          <w:sz w:val="22"/>
        </w:rPr>
        <w:t xml:space="preserve"> av trend-BNP for Fastlands-Norge, som er høyere enn før pandemien da oljepengebruken utgjorde 7,7 p</w:t>
      </w:r>
      <w:r w:rsidR="007448C8">
        <w:rPr>
          <w:rFonts w:ascii="Open Sans" w:eastAsia="Calibri" w:hAnsi="Open Sans" w:cs="Open Sans"/>
          <w:sz w:val="22"/>
        </w:rPr>
        <w:t>st</w:t>
      </w:r>
      <w:r w:rsidRPr="00E56B2E">
        <w:rPr>
          <w:rFonts w:ascii="Open Sans" w:eastAsia="Calibri" w:hAnsi="Open Sans" w:cs="Open Sans"/>
          <w:sz w:val="22"/>
        </w:rPr>
        <w:t>. Beregninger viser dessuten at finanspolitikken i 2020 og 2021</w:t>
      </w:r>
      <w:r w:rsidR="001A7A2C">
        <w:rPr>
          <w:rFonts w:ascii="Open Sans" w:eastAsia="Calibri" w:hAnsi="Open Sans" w:cs="Open Sans"/>
          <w:sz w:val="22"/>
        </w:rPr>
        <w:t xml:space="preserve"> </w:t>
      </w:r>
      <w:r w:rsidRPr="00E56B2E">
        <w:rPr>
          <w:rFonts w:ascii="Open Sans" w:eastAsia="Calibri" w:hAnsi="Open Sans" w:cs="Open Sans"/>
          <w:sz w:val="22"/>
        </w:rPr>
        <w:t xml:space="preserve">vil bidra positivt til den økonomiske aktiviteten også i 2022. </w:t>
      </w:r>
    </w:p>
    <w:p w14:paraId="0433B621" w14:textId="77777777" w:rsidR="00E56B2E" w:rsidRPr="00E56B2E" w:rsidRDefault="00E56B2E" w:rsidP="00E56B2E">
      <w:pPr>
        <w:spacing w:after="0" w:line="240" w:lineRule="auto"/>
        <w:jc w:val="both"/>
        <w:rPr>
          <w:rFonts w:ascii="Open Sans" w:eastAsia="Calibri" w:hAnsi="Open Sans" w:cs="Open Sans"/>
          <w:sz w:val="22"/>
        </w:rPr>
      </w:pPr>
    </w:p>
    <w:p w14:paraId="4EDECEC7" w14:textId="0F8B55BC"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På denne bakgrunn anslår vi en vekst i konsum og bruttoinvesteringer i offentlig forvaltning på henholdsvis 1,0 og 2,0 pst. i 2022 og henholdsvis 1,2 og 1,2 pst. i 202</w:t>
      </w:r>
      <w:r w:rsidR="008B413C">
        <w:rPr>
          <w:rFonts w:ascii="Open Sans" w:eastAsia="Calibri" w:hAnsi="Open Sans" w:cs="Open Sans"/>
          <w:sz w:val="22"/>
        </w:rPr>
        <w:t>3</w:t>
      </w:r>
      <w:r w:rsidRPr="00E56B2E">
        <w:rPr>
          <w:rFonts w:ascii="Open Sans" w:eastAsia="Calibri" w:hAnsi="Open Sans" w:cs="Open Sans"/>
          <w:sz w:val="22"/>
        </w:rPr>
        <w:t xml:space="preserve">. </w:t>
      </w:r>
    </w:p>
    <w:p w14:paraId="54AF8A60" w14:textId="77777777" w:rsidR="00E56B2E" w:rsidRPr="00E56B2E" w:rsidRDefault="00E56B2E" w:rsidP="00E56B2E">
      <w:pPr>
        <w:spacing w:after="0" w:line="240" w:lineRule="auto"/>
        <w:jc w:val="both"/>
        <w:rPr>
          <w:rFonts w:ascii="Open Sans" w:eastAsia="Calibri" w:hAnsi="Open Sans" w:cs="Open Sans"/>
          <w:sz w:val="22"/>
        </w:rPr>
      </w:pPr>
    </w:p>
    <w:p w14:paraId="2FD5ABC1" w14:textId="0A7C7163" w:rsidR="00DE59D2" w:rsidRDefault="00E56B2E" w:rsidP="00DE59D2">
      <w:pPr>
        <w:spacing w:after="0" w:line="240" w:lineRule="auto"/>
        <w:jc w:val="both"/>
        <w:rPr>
          <w:rFonts w:ascii="Open Sans" w:eastAsia="Calibri" w:hAnsi="Open Sans" w:cs="Open Sans"/>
          <w:sz w:val="22"/>
        </w:rPr>
      </w:pPr>
      <w:r w:rsidRPr="00E56B2E">
        <w:rPr>
          <w:rFonts w:ascii="Open Sans" w:eastAsia="Calibri" w:hAnsi="Open Sans" w:cs="Open Sans"/>
          <w:sz w:val="22"/>
        </w:rPr>
        <w:t xml:space="preserve">Etter </w:t>
      </w:r>
      <w:r w:rsidR="00C75ADF">
        <w:rPr>
          <w:rFonts w:ascii="Open Sans" w:eastAsia="Calibri" w:hAnsi="Open Sans" w:cs="Open Sans"/>
          <w:sz w:val="22"/>
        </w:rPr>
        <w:t>mer enn</w:t>
      </w:r>
      <w:r w:rsidRPr="00E56B2E">
        <w:rPr>
          <w:rFonts w:ascii="Open Sans" w:eastAsia="Calibri" w:hAnsi="Open Sans" w:cs="Open Sans"/>
          <w:sz w:val="22"/>
        </w:rPr>
        <w:t xml:space="preserve"> ett år med rekordlav styringsrente på 0 p</w:t>
      </w:r>
      <w:r w:rsidR="007448C8">
        <w:rPr>
          <w:rFonts w:ascii="Open Sans" w:eastAsia="Calibri" w:hAnsi="Open Sans" w:cs="Open Sans"/>
          <w:sz w:val="22"/>
        </w:rPr>
        <w:t>st.</w:t>
      </w:r>
      <w:r w:rsidRPr="00E56B2E">
        <w:rPr>
          <w:rFonts w:ascii="Open Sans" w:eastAsia="Calibri" w:hAnsi="Open Sans" w:cs="Open Sans"/>
          <w:sz w:val="22"/>
        </w:rPr>
        <w:t xml:space="preserve"> satte Norges Bank opp renta med 0,25 prosentpoeng i september 2021. Renteoppgangen fortsatte på rentemøtet i desember 2021 og mars 2022, slik at styringsrenta nå er 0,75 p</w:t>
      </w:r>
      <w:r w:rsidR="007448C8">
        <w:rPr>
          <w:rFonts w:ascii="Open Sans" w:eastAsia="Calibri" w:hAnsi="Open Sans" w:cs="Open Sans"/>
          <w:sz w:val="22"/>
        </w:rPr>
        <w:t>st</w:t>
      </w:r>
      <w:r w:rsidRPr="00E56B2E">
        <w:rPr>
          <w:rFonts w:ascii="Open Sans" w:eastAsia="Calibri" w:hAnsi="Open Sans" w:cs="Open Sans"/>
          <w:sz w:val="22"/>
        </w:rPr>
        <w:t>.  Ved rentemøtet i mars 2022 varslet Norges Bank en oppjustert rentebane som innebærer en raskere og kraftigere innstramning framover. Ifølge denne nye rentebanen vil styringsrenten ligge på 2,5 pst. ved utgangen av 2023, og vil i gjennomsnitt være 0,9 pst. i 2022 og 2,0 pst. i 2023.   Det er denne rentebanen vi har lagt til grunn i vår konjunkturvurdering.</w:t>
      </w:r>
    </w:p>
    <w:p w14:paraId="4C9555B9" w14:textId="17C50152" w:rsidR="00DE59D2" w:rsidRPr="00E56B2E" w:rsidRDefault="00DE59D2" w:rsidP="00DE59D2">
      <w:pPr>
        <w:spacing w:after="160" w:line="259" w:lineRule="auto"/>
        <w:rPr>
          <w:rFonts w:ascii="Open Sans" w:eastAsia="Calibri" w:hAnsi="Open Sans" w:cs="Open Sans"/>
          <w:sz w:val="22"/>
        </w:rPr>
      </w:pPr>
    </w:p>
    <w:p w14:paraId="0A54538C" w14:textId="77777777" w:rsidR="00E56B2E" w:rsidRPr="00E56B2E" w:rsidRDefault="00E56B2E" w:rsidP="00E56B2E">
      <w:pPr>
        <w:spacing w:after="0" w:line="240" w:lineRule="auto"/>
        <w:jc w:val="center"/>
        <w:rPr>
          <w:rFonts w:ascii="Open Sans" w:eastAsia="Calibri" w:hAnsi="Open Sans" w:cs="Open Sans"/>
          <w:sz w:val="16"/>
          <w:szCs w:val="16"/>
        </w:rPr>
      </w:pPr>
      <w:r w:rsidRPr="00E56B2E">
        <w:rPr>
          <w:rFonts w:ascii="Open Sans" w:eastAsia="Calibri" w:hAnsi="Open Sans" w:cs="Open Sans"/>
          <w:noProof/>
          <w:sz w:val="22"/>
        </w:rPr>
        <w:lastRenderedPageBreak/>
        <w:drawing>
          <wp:inline distT="0" distB="0" distL="0" distR="0" wp14:anchorId="464DEECB" wp14:editId="36CEAF99">
            <wp:extent cx="4714744" cy="2646285"/>
            <wp:effectExtent l="0" t="0" r="0" b="190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0321" cy="2688705"/>
                    </a:xfrm>
                    <a:prstGeom prst="rect">
                      <a:avLst/>
                    </a:prstGeom>
                    <a:noFill/>
                  </pic:spPr>
                </pic:pic>
              </a:graphicData>
            </a:graphic>
          </wp:inline>
        </w:drawing>
      </w:r>
    </w:p>
    <w:p w14:paraId="6015CCA4" w14:textId="77777777" w:rsidR="00E56B2E" w:rsidRPr="00E56B2E" w:rsidRDefault="00E56B2E" w:rsidP="00E56B2E">
      <w:pPr>
        <w:spacing w:after="0" w:line="240" w:lineRule="auto"/>
        <w:jc w:val="center"/>
        <w:rPr>
          <w:rFonts w:ascii="Open Sans" w:eastAsia="Calibri" w:hAnsi="Open Sans" w:cs="Open Sans"/>
          <w:sz w:val="22"/>
          <w:u w:val="single"/>
        </w:rPr>
      </w:pPr>
      <w:r w:rsidRPr="00E56B2E">
        <w:rPr>
          <w:rFonts w:ascii="Open Sans" w:eastAsia="Calibri" w:hAnsi="Open Sans" w:cs="Open Sans"/>
          <w:noProof/>
          <w:sz w:val="22"/>
          <w:u w:val="single"/>
        </w:rPr>
        <w:drawing>
          <wp:inline distT="0" distB="0" distL="0" distR="0" wp14:anchorId="32334FDB" wp14:editId="758B6523">
            <wp:extent cx="4622647" cy="2671504"/>
            <wp:effectExtent l="0" t="0" r="698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1610" cy="2688242"/>
                    </a:xfrm>
                    <a:prstGeom prst="rect">
                      <a:avLst/>
                    </a:prstGeom>
                    <a:noFill/>
                  </pic:spPr>
                </pic:pic>
              </a:graphicData>
            </a:graphic>
          </wp:inline>
        </w:drawing>
      </w:r>
    </w:p>
    <w:p w14:paraId="3F58A4EB" w14:textId="50662BF7" w:rsidR="00E56B2E" w:rsidRPr="00E56B2E" w:rsidRDefault="00E56B2E" w:rsidP="00E56B2E">
      <w:pPr>
        <w:spacing w:after="0" w:line="240" w:lineRule="auto"/>
        <w:jc w:val="both"/>
        <w:rPr>
          <w:rFonts w:ascii="Open Sans" w:eastAsia="Calibri" w:hAnsi="Open Sans" w:cs="Open Sans"/>
          <w:sz w:val="22"/>
          <w:u w:val="single"/>
        </w:rPr>
      </w:pPr>
      <w:r w:rsidRPr="00E56B2E">
        <w:rPr>
          <w:rFonts w:ascii="Open Sans" w:eastAsia="Calibri" w:hAnsi="Open Sans" w:cs="Open Sans"/>
          <w:sz w:val="22"/>
        </w:rPr>
        <w:t xml:space="preserve">Ifølge en skiftberegning vi har utført ved hjelp av NAM-modellen, vil den nye oppjusterte rentebanen som Norges Bank har varslet om, føre til sterkere kronestyrking og større innstramningseffekter på både realøkonomien og arbeidsmarkedet (jfr. </w:t>
      </w:r>
      <w:r w:rsidR="00EE5482">
        <w:rPr>
          <w:rFonts w:ascii="Open Sans" w:eastAsia="Calibri" w:hAnsi="Open Sans" w:cs="Open Sans"/>
          <w:sz w:val="22"/>
        </w:rPr>
        <w:t>Boks 2</w:t>
      </w:r>
      <w:r w:rsidRPr="00E56B2E">
        <w:rPr>
          <w:rFonts w:ascii="Open Sans" w:eastAsia="Calibri" w:hAnsi="Open Sans" w:cs="Open Sans"/>
          <w:sz w:val="22"/>
        </w:rPr>
        <w:t>)</w:t>
      </w:r>
      <w:r w:rsidR="00EE5482">
        <w:rPr>
          <w:rFonts w:ascii="Open Sans" w:eastAsia="Calibri" w:hAnsi="Open Sans" w:cs="Open Sans"/>
          <w:sz w:val="22"/>
        </w:rPr>
        <w:t>.</w:t>
      </w:r>
    </w:p>
    <w:p w14:paraId="46BB9015" w14:textId="77777777" w:rsidR="00E56B2E" w:rsidRPr="00E56B2E" w:rsidRDefault="00E56B2E" w:rsidP="00E56B2E">
      <w:pPr>
        <w:spacing w:after="0" w:line="240" w:lineRule="auto"/>
        <w:jc w:val="both"/>
        <w:rPr>
          <w:rFonts w:ascii="Open Sans" w:eastAsia="Calibri" w:hAnsi="Open Sans" w:cs="Open Sans"/>
          <w:sz w:val="22"/>
          <w:u w:val="single"/>
        </w:rPr>
      </w:pPr>
    </w:p>
    <w:p w14:paraId="24933EC3" w14:textId="77777777" w:rsidR="00E56B2E" w:rsidRPr="00E56B2E" w:rsidRDefault="00E56B2E" w:rsidP="00E56B2E">
      <w:pPr>
        <w:spacing w:after="0" w:line="240" w:lineRule="auto"/>
        <w:jc w:val="both"/>
        <w:rPr>
          <w:rFonts w:ascii="Open Sans" w:eastAsia="Calibri" w:hAnsi="Open Sans" w:cs="Open Sans"/>
          <w:sz w:val="22"/>
          <w:u w:val="single"/>
        </w:rPr>
      </w:pPr>
      <w:r w:rsidRPr="00E56B2E">
        <w:rPr>
          <w:rFonts w:ascii="Open Sans" w:eastAsia="Calibri" w:hAnsi="Open Sans" w:cs="Open Sans"/>
          <w:sz w:val="22"/>
          <w:u w:val="single"/>
        </w:rPr>
        <w:t>Krona og konsumprisene</w:t>
      </w:r>
    </w:p>
    <w:p w14:paraId="3FDB7D1B" w14:textId="4AFE17A6" w:rsid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 xml:space="preserve">Krona styrket seg gjennom hele fjoråret.  På årsbasis har krona, målt ved den importveide kronekursen, styrket seg med 5,3 pst. i fjor. Kronestyrkingen fortsatte i årets første 3 måneder, hvor krona styrket seg med 1,9 pst. sammenlignet med samme periode i fjor. Kronekursen har styrket seg med om lag 14 pst. siden bunnoteringen for nøyaktig to år siden (april 2020), men er fremdeles om lag 24% svakere enn toppnoteringen </w:t>
      </w:r>
      <w:r w:rsidR="007F4626">
        <w:rPr>
          <w:rFonts w:ascii="Open Sans" w:eastAsia="Calibri" w:hAnsi="Open Sans" w:cs="Open Sans"/>
          <w:sz w:val="22"/>
        </w:rPr>
        <w:t>den siste tiårsperioden</w:t>
      </w:r>
      <w:r w:rsidRPr="00E56B2E">
        <w:rPr>
          <w:rFonts w:ascii="Open Sans" w:eastAsia="Calibri" w:hAnsi="Open Sans" w:cs="Open Sans"/>
          <w:sz w:val="22"/>
        </w:rPr>
        <w:t>. Vi anslår at krona vil styrke seg med 3,5 pst. i 2022 og ytterligere 2,3 pst. i 2023. Det må ses på bakgrunn av rekordoverskudd på Norges driftsbalanse og stigende rente.  I mellomtiden vil usikkerhet i markedene gjøre at kronekursen svinger mye opp og ned.</w:t>
      </w:r>
    </w:p>
    <w:p w14:paraId="24164E1A" w14:textId="77777777" w:rsidR="00471C5F" w:rsidRDefault="00471C5F" w:rsidP="00E56B2E">
      <w:pPr>
        <w:spacing w:after="0" w:line="240" w:lineRule="auto"/>
        <w:jc w:val="both"/>
        <w:rPr>
          <w:rFonts w:ascii="Open Sans" w:eastAsia="Calibri" w:hAnsi="Open Sans" w:cs="Open Sans"/>
          <w:sz w:val="22"/>
        </w:rPr>
      </w:pPr>
    </w:p>
    <w:p w14:paraId="684AA999" w14:textId="1BF39CE0" w:rsidR="00471C5F" w:rsidRDefault="00471C5F">
      <w:pPr>
        <w:spacing w:after="160" w:line="259" w:lineRule="auto"/>
        <w:rPr>
          <w:rFonts w:ascii="Open Sans" w:eastAsia="Calibri" w:hAnsi="Open Sans" w:cs="Open Sans"/>
          <w:sz w:val="22"/>
        </w:rPr>
      </w:pPr>
      <w:r w:rsidRPr="00E56B2E">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58244" behindDoc="0" locked="0" layoutInCell="1" allowOverlap="1" wp14:anchorId="5D3B60EC" wp14:editId="7B8C8820">
                <wp:simplePos x="0" y="0"/>
                <wp:positionH relativeFrom="margin">
                  <wp:posOffset>-173972</wp:posOffset>
                </wp:positionH>
                <wp:positionV relativeFrom="paragraph">
                  <wp:posOffset>-978</wp:posOffset>
                </wp:positionV>
                <wp:extent cx="5905964" cy="6623384"/>
                <wp:effectExtent l="0" t="0" r="19050" b="25400"/>
                <wp:wrapNone/>
                <wp:docPr id="12" name="Tekstboks 12"/>
                <wp:cNvGraphicFramePr/>
                <a:graphic xmlns:a="http://schemas.openxmlformats.org/drawingml/2006/main">
                  <a:graphicData uri="http://schemas.microsoft.com/office/word/2010/wordprocessingShape">
                    <wps:wsp>
                      <wps:cNvSpPr txBox="1"/>
                      <wps:spPr>
                        <a:xfrm>
                          <a:off x="0" y="0"/>
                          <a:ext cx="5905964" cy="6623384"/>
                        </a:xfrm>
                        <a:prstGeom prst="rect">
                          <a:avLst/>
                        </a:prstGeom>
                        <a:solidFill>
                          <a:sysClr val="window" lastClr="FFFFFF"/>
                        </a:solidFill>
                        <a:ln w="6350">
                          <a:solidFill>
                            <a:prstClr val="black"/>
                          </a:solidFill>
                        </a:ln>
                      </wps:spPr>
                      <wps:txbx>
                        <w:txbxContent>
                          <w:p w14:paraId="05A17E94" w14:textId="28ADB556" w:rsidR="00471C5F" w:rsidRPr="00E56B2E" w:rsidRDefault="00471C5F" w:rsidP="00471C5F">
                            <w:pPr>
                              <w:jc w:val="both"/>
                              <w:rPr>
                                <w:rFonts w:ascii="Open Sans" w:hAnsi="Open Sans" w:cs="Open Sans"/>
                                <w:b/>
                                <w:bCs/>
                                <w:szCs w:val="20"/>
                              </w:rPr>
                            </w:pPr>
                            <w:r w:rsidRPr="00E82E4B">
                              <w:rPr>
                                <w:rFonts w:ascii="Open Sans" w:hAnsi="Open Sans" w:cs="Open Sans"/>
                                <w:b/>
                                <w:bCs/>
                                <w:szCs w:val="20"/>
                              </w:rPr>
                              <w:t xml:space="preserve">Boks </w:t>
                            </w:r>
                            <w:r>
                              <w:rPr>
                                <w:rFonts w:ascii="Open Sans" w:hAnsi="Open Sans" w:cs="Open Sans"/>
                                <w:b/>
                                <w:bCs/>
                                <w:szCs w:val="20"/>
                              </w:rPr>
                              <w:t>2</w:t>
                            </w:r>
                            <w:r w:rsidRPr="00E82E4B">
                              <w:rPr>
                                <w:rFonts w:ascii="Open Sans" w:hAnsi="Open Sans" w:cs="Open Sans"/>
                                <w:b/>
                                <w:bCs/>
                                <w:szCs w:val="20"/>
                              </w:rPr>
                              <w:t xml:space="preserve">: </w:t>
                            </w:r>
                            <w:r>
                              <w:rPr>
                                <w:rFonts w:ascii="Open Sans" w:hAnsi="Open Sans" w:cs="Open Sans"/>
                                <w:b/>
                                <w:bCs/>
                                <w:szCs w:val="20"/>
                              </w:rPr>
                              <w:t>Hva betyr den oppjusterte rentebanen fra Norges Bank – en skiftberegning via NAM-modellen</w:t>
                            </w:r>
                          </w:p>
                          <w:p w14:paraId="1F81B52E" w14:textId="3FD024F8" w:rsidR="00471C5F" w:rsidRPr="00E56B2E" w:rsidRDefault="00471C5F" w:rsidP="00471C5F">
                            <w:pPr>
                              <w:jc w:val="both"/>
                              <w:rPr>
                                <w:rFonts w:ascii="Open Sans" w:hAnsi="Open Sans" w:cs="Open Sans"/>
                                <w:sz w:val="18"/>
                                <w:szCs w:val="18"/>
                              </w:rPr>
                            </w:pPr>
                            <w:r>
                              <w:rPr>
                                <w:rFonts w:ascii="Open Sans" w:hAnsi="Open Sans" w:cs="Open Sans"/>
                                <w:sz w:val="18"/>
                                <w:szCs w:val="18"/>
                              </w:rPr>
                              <w:t xml:space="preserve">Norges Bank la fram en ny rentebane i mars 2022 som innebærer </w:t>
                            </w:r>
                            <w:r w:rsidR="00631958">
                              <w:rPr>
                                <w:rFonts w:ascii="Open Sans" w:hAnsi="Open Sans" w:cs="Open Sans"/>
                                <w:sz w:val="18"/>
                                <w:szCs w:val="18"/>
                              </w:rPr>
                              <w:t xml:space="preserve">en </w:t>
                            </w:r>
                            <w:r>
                              <w:rPr>
                                <w:rFonts w:ascii="Open Sans" w:hAnsi="Open Sans" w:cs="Open Sans"/>
                                <w:sz w:val="18"/>
                                <w:szCs w:val="18"/>
                              </w:rPr>
                              <w:t>raskere og sterkere renteoppgang enn den forrige rentebanen (fra desember 2021).  Ved hjelp av modellverktøyet NAM har vi gjennomført en skiftberegning som viser at den nye rentebanen, sammenli</w:t>
                            </w:r>
                            <w:r w:rsidR="00631958">
                              <w:rPr>
                                <w:rFonts w:ascii="Open Sans" w:hAnsi="Open Sans" w:cs="Open Sans"/>
                                <w:sz w:val="18"/>
                                <w:szCs w:val="18"/>
                              </w:rPr>
                              <w:t>g</w:t>
                            </w:r>
                            <w:r>
                              <w:rPr>
                                <w:rFonts w:ascii="Open Sans" w:hAnsi="Open Sans" w:cs="Open Sans"/>
                                <w:sz w:val="18"/>
                                <w:szCs w:val="18"/>
                              </w:rPr>
                              <w:t xml:space="preserve">net med den forrige rentebanen og alt annet likt, vil føre til sterkere kronestyrking framover og sterkere innstramningseffekt på realøkonomien og arbeidsmarkedet, i tillegg til noe sterkere avdempingseffekt på konsumprisstigninger. Effektene kommer mer til syne i 2023 og 2024. </w:t>
                            </w:r>
                          </w:p>
                          <w:p w14:paraId="4E106F24" w14:textId="4493C6FE" w:rsidR="00471C5F" w:rsidRPr="0014433C" w:rsidRDefault="00471C5F" w:rsidP="00471C5F">
                            <w:pPr>
                              <w:jc w:val="both"/>
                              <w:rPr>
                                <w:rFonts w:ascii="Open Sans" w:hAnsi="Open Sans" w:cs="Open Sans"/>
                                <w:b/>
                                <w:bCs/>
                                <w:sz w:val="16"/>
                                <w:szCs w:val="16"/>
                              </w:rPr>
                            </w:pPr>
                            <w:r w:rsidRPr="0014433C">
                              <w:rPr>
                                <w:rFonts w:ascii="Open Sans" w:hAnsi="Open Sans" w:cs="Open Sans"/>
                                <w:b/>
                                <w:bCs/>
                                <w:sz w:val="16"/>
                                <w:szCs w:val="16"/>
                              </w:rPr>
                              <w:t xml:space="preserve">Virkningstabellen: </w:t>
                            </w:r>
                            <w:r>
                              <w:rPr>
                                <w:rFonts w:ascii="Open Sans" w:hAnsi="Open Sans" w:cs="Open Sans"/>
                                <w:b/>
                                <w:bCs/>
                                <w:sz w:val="16"/>
                                <w:szCs w:val="16"/>
                              </w:rPr>
                              <w:t>Prognosebanen i henhold til Norge Banks nye rentebane fra mars 2022</w:t>
                            </w:r>
                            <w:r w:rsidRPr="0014433C">
                              <w:rPr>
                                <w:rFonts w:ascii="Open Sans" w:hAnsi="Open Sans" w:cs="Open Sans"/>
                                <w:b/>
                                <w:bCs/>
                                <w:sz w:val="16"/>
                                <w:szCs w:val="16"/>
                              </w:rPr>
                              <w:t xml:space="preserve">. </w:t>
                            </w:r>
                            <w:r>
                              <w:rPr>
                                <w:rFonts w:ascii="Open Sans" w:hAnsi="Open Sans" w:cs="Open Sans"/>
                                <w:b/>
                                <w:bCs/>
                                <w:sz w:val="16"/>
                                <w:szCs w:val="16"/>
                              </w:rPr>
                              <w:t>A</w:t>
                            </w:r>
                            <w:r w:rsidRPr="0014433C">
                              <w:rPr>
                                <w:rFonts w:ascii="Open Sans" w:hAnsi="Open Sans" w:cs="Open Sans"/>
                                <w:b/>
                                <w:bCs/>
                                <w:sz w:val="16"/>
                                <w:szCs w:val="16"/>
                              </w:rPr>
                              <w:t>vvik</w:t>
                            </w:r>
                            <w:r>
                              <w:rPr>
                                <w:rFonts w:ascii="Open Sans" w:hAnsi="Open Sans" w:cs="Open Sans"/>
                                <w:b/>
                                <w:bCs/>
                                <w:sz w:val="16"/>
                                <w:szCs w:val="16"/>
                              </w:rPr>
                              <w:t xml:space="preserve"> i prosentpoeng</w:t>
                            </w:r>
                            <w:r w:rsidRPr="0014433C">
                              <w:rPr>
                                <w:rFonts w:ascii="Open Sans" w:hAnsi="Open Sans" w:cs="Open Sans"/>
                                <w:b/>
                                <w:bCs/>
                                <w:sz w:val="16"/>
                                <w:szCs w:val="16"/>
                              </w:rPr>
                              <w:t xml:space="preserve"> fra prognosebanen</w:t>
                            </w:r>
                            <w:r>
                              <w:rPr>
                                <w:rFonts w:ascii="Open Sans" w:hAnsi="Open Sans" w:cs="Open Sans"/>
                                <w:b/>
                                <w:bCs/>
                                <w:sz w:val="16"/>
                                <w:szCs w:val="16"/>
                              </w:rPr>
                              <w:t xml:space="preserve"> i henhold til forrige rentebane fra desember 2021</w:t>
                            </w:r>
                            <w:r w:rsidRPr="0014433C">
                              <w:rPr>
                                <w:rFonts w:ascii="Open Sans" w:hAnsi="Open Sans" w:cs="Open Sans"/>
                                <w:b/>
                                <w:bCs/>
                                <w:sz w:val="16"/>
                                <w:szCs w:val="16"/>
                              </w:rPr>
                              <w:t xml:space="preserve"> der ikke annet framgår</w:t>
                            </w:r>
                            <w:r>
                              <w:rPr>
                                <w:rFonts w:ascii="Open Sans" w:hAnsi="Open Sans" w:cs="Open Sans"/>
                                <w:b/>
                                <w:bCs/>
                                <w:sz w:val="16"/>
                                <w:szCs w:val="16"/>
                              </w:rPr>
                              <w:t>.</w:t>
                            </w:r>
                          </w:p>
                          <w:tbl>
                            <w:tblPr>
                              <w:tblStyle w:val="Tabellrutenet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559"/>
                              <w:gridCol w:w="1417"/>
                              <w:gridCol w:w="1482"/>
                            </w:tblGrid>
                            <w:tr w:rsidR="00471C5F" w:rsidRPr="0014433C" w14:paraId="4FA85A07" w14:textId="77777777" w:rsidTr="003462C2">
                              <w:tc>
                                <w:tcPr>
                                  <w:tcW w:w="4390" w:type="dxa"/>
                                  <w:tcBorders>
                                    <w:top w:val="single" w:sz="4" w:space="0" w:color="auto"/>
                                    <w:bottom w:val="single" w:sz="4" w:space="0" w:color="auto"/>
                                  </w:tcBorders>
                                </w:tcPr>
                                <w:p w14:paraId="67849237" w14:textId="77777777" w:rsidR="00471C5F" w:rsidRPr="0014433C" w:rsidRDefault="00471C5F">
                                  <w:pPr>
                                    <w:rPr>
                                      <w:rFonts w:ascii="Open Sans" w:hAnsi="Open Sans" w:cs="Open Sans"/>
                                      <w:sz w:val="16"/>
                                      <w:szCs w:val="16"/>
                                    </w:rPr>
                                  </w:pPr>
                                </w:p>
                              </w:tc>
                              <w:tc>
                                <w:tcPr>
                                  <w:tcW w:w="1559" w:type="dxa"/>
                                  <w:tcBorders>
                                    <w:top w:val="single" w:sz="4" w:space="0" w:color="auto"/>
                                    <w:bottom w:val="single" w:sz="4" w:space="0" w:color="auto"/>
                                  </w:tcBorders>
                                </w:tcPr>
                                <w:p w14:paraId="63EA3586"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2022</w:t>
                                  </w:r>
                                </w:p>
                              </w:tc>
                              <w:tc>
                                <w:tcPr>
                                  <w:tcW w:w="1417" w:type="dxa"/>
                                  <w:tcBorders>
                                    <w:top w:val="single" w:sz="4" w:space="0" w:color="auto"/>
                                    <w:bottom w:val="single" w:sz="4" w:space="0" w:color="auto"/>
                                  </w:tcBorders>
                                </w:tcPr>
                                <w:p w14:paraId="2B1444F3"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2023</w:t>
                                  </w:r>
                                </w:p>
                              </w:tc>
                              <w:tc>
                                <w:tcPr>
                                  <w:tcW w:w="1482" w:type="dxa"/>
                                  <w:tcBorders>
                                    <w:top w:val="single" w:sz="4" w:space="0" w:color="auto"/>
                                    <w:bottom w:val="single" w:sz="4" w:space="0" w:color="auto"/>
                                  </w:tcBorders>
                                </w:tcPr>
                                <w:p w14:paraId="43A5EE00"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2024</w:t>
                                  </w:r>
                                </w:p>
                              </w:tc>
                            </w:tr>
                            <w:tr w:rsidR="00471C5F" w:rsidRPr="0014433C" w14:paraId="08454E54" w14:textId="77777777" w:rsidTr="00E56B2E">
                              <w:tc>
                                <w:tcPr>
                                  <w:tcW w:w="4390" w:type="dxa"/>
                                  <w:tcBorders>
                                    <w:top w:val="single" w:sz="4" w:space="0" w:color="auto"/>
                                  </w:tcBorders>
                                  <w:shd w:val="clear" w:color="auto" w:fill="D9D9D9"/>
                                </w:tcPr>
                                <w:p w14:paraId="0892AB31" w14:textId="77777777" w:rsidR="00471C5F" w:rsidRPr="00B07533" w:rsidRDefault="00471C5F">
                                  <w:pPr>
                                    <w:rPr>
                                      <w:rFonts w:ascii="Open Sans" w:hAnsi="Open Sans" w:cs="Open Sans"/>
                                      <w:b/>
                                      <w:bCs/>
                                      <w:sz w:val="16"/>
                                      <w:szCs w:val="16"/>
                                    </w:rPr>
                                  </w:pPr>
                                  <w:r w:rsidRPr="00B07533">
                                    <w:rPr>
                                      <w:rFonts w:ascii="Open Sans" w:hAnsi="Open Sans" w:cs="Open Sans"/>
                                      <w:b/>
                                      <w:bCs/>
                                      <w:sz w:val="16"/>
                                      <w:szCs w:val="16"/>
                                    </w:rPr>
                                    <w:t>Kronekurs og konsumpriser</w:t>
                                  </w:r>
                                </w:p>
                              </w:tc>
                              <w:tc>
                                <w:tcPr>
                                  <w:tcW w:w="1559" w:type="dxa"/>
                                  <w:tcBorders>
                                    <w:top w:val="single" w:sz="4" w:space="0" w:color="auto"/>
                                  </w:tcBorders>
                                  <w:shd w:val="clear" w:color="auto" w:fill="D9D9D9"/>
                                </w:tcPr>
                                <w:p w14:paraId="7DBE38CF" w14:textId="77777777" w:rsidR="00471C5F" w:rsidRPr="0014433C" w:rsidRDefault="00471C5F" w:rsidP="003462C2">
                                  <w:pPr>
                                    <w:jc w:val="center"/>
                                    <w:rPr>
                                      <w:rFonts w:ascii="Open Sans" w:hAnsi="Open Sans" w:cs="Open Sans"/>
                                      <w:sz w:val="16"/>
                                      <w:szCs w:val="16"/>
                                    </w:rPr>
                                  </w:pPr>
                                </w:p>
                              </w:tc>
                              <w:tc>
                                <w:tcPr>
                                  <w:tcW w:w="1417" w:type="dxa"/>
                                  <w:tcBorders>
                                    <w:top w:val="single" w:sz="4" w:space="0" w:color="auto"/>
                                  </w:tcBorders>
                                  <w:shd w:val="clear" w:color="auto" w:fill="D9D9D9"/>
                                </w:tcPr>
                                <w:p w14:paraId="05965E61" w14:textId="77777777" w:rsidR="00471C5F" w:rsidRPr="0014433C" w:rsidRDefault="00471C5F" w:rsidP="003462C2">
                                  <w:pPr>
                                    <w:jc w:val="center"/>
                                    <w:rPr>
                                      <w:rFonts w:ascii="Open Sans" w:hAnsi="Open Sans" w:cs="Open Sans"/>
                                      <w:sz w:val="16"/>
                                      <w:szCs w:val="16"/>
                                    </w:rPr>
                                  </w:pPr>
                                </w:p>
                              </w:tc>
                              <w:tc>
                                <w:tcPr>
                                  <w:tcW w:w="1482" w:type="dxa"/>
                                  <w:tcBorders>
                                    <w:top w:val="single" w:sz="4" w:space="0" w:color="auto"/>
                                  </w:tcBorders>
                                  <w:shd w:val="clear" w:color="auto" w:fill="D9D9D9"/>
                                </w:tcPr>
                                <w:p w14:paraId="74AF6868" w14:textId="77777777" w:rsidR="00471C5F" w:rsidRPr="0014433C" w:rsidRDefault="00471C5F" w:rsidP="003462C2">
                                  <w:pPr>
                                    <w:jc w:val="center"/>
                                    <w:rPr>
                                      <w:rFonts w:ascii="Open Sans" w:hAnsi="Open Sans" w:cs="Open Sans"/>
                                      <w:sz w:val="16"/>
                                      <w:szCs w:val="16"/>
                                    </w:rPr>
                                  </w:pPr>
                                </w:p>
                              </w:tc>
                            </w:tr>
                            <w:tr w:rsidR="00471C5F" w:rsidRPr="0014433C" w14:paraId="45A61698" w14:textId="77777777" w:rsidTr="003462C2">
                              <w:tc>
                                <w:tcPr>
                                  <w:tcW w:w="4390" w:type="dxa"/>
                                </w:tcPr>
                                <w:p w14:paraId="65DA9965" w14:textId="77777777" w:rsidR="00471C5F" w:rsidRPr="0014433C" w:rsidRDefault="00471C5F">
                                  <w:pPr>
                                    <w:rPr>
                                      <w:rFonts w:ascii="Open Sans" w:hAnsi="Open Sans" w:cs="Open Sans"/>
                                      <w:sz w:val="16"/>
                                      <w:szCs w:val="16"/>
                                    </w:rPr>
                                  </w:pPr>
                                  <w:r>
                                    <w:rPr>
                                      <w:rFonts w:ascii="Open Sans" w:hAnsi="Open Sans" w:cs="Open Sans"/>
                                      <w:sz w:val="16"/>
                                      <w:szCs w:val="16"/>
                                    </w:rPr>
                                    <w:t>Kronekurs I44</w:t>
                                  </w:r>
                                </w:p>
                              </w:tc>
                              <w:tc>
                                <w:tcPr>
                                  <w:tcW w:w="1559" w:type="dxa"/>
                                </w:tcPr>
                                <w:p w14:paraId="0E3BB05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-0,4</w:t>
                                  </w:r>
                                </w:p>
                              </w:tc>
                              <w:tc>
                                <w:tcPr>
                                  <w:tcW w:w="1417" w:type="dxa"/>
                                </w:tcPr>
                                <w:p w14:paraId="22E84AED"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-1,5</w:t>
                                  </w:r>
                                </w:p>
                              </w:tc>
                              <w:tc>
                                <w:tcPr>
                                  <w:tcW w:w="1482" w:type="dxa"/>
                                </w:tcPr>
                                <w:p w14:paraId="448F39B8"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-0,8</w:t>
                                  </w:r>
                                </w:p>
                              </w:tc>
                            </w:tr>
                            <w:tr w:rsidR="00471C5F" w:rsidRPr="0014433C" w14:paraId="51B8F9DD" w14:textId="77777777" w:rsidTr="00E56B2E">
                              <w:tc>
                                <w:tcPr>
                                  <w:tcW w:w="4390" w:type="dxa"/>
                                  <w:shd w:val="clear" w:color="auto" w:fill="D9D9D9"/>
                                </w:tcPr>
                                <w:p w14:paraId="0FBD9B64" w14:textId="77777777" w:rsidR="00471C5F" w:rsidRPr="0014433C" w:rsidRDefault="00471C5F">
                                  <w:pPr>
                                    <w:rPr>
                                      <w:rFonts w:ascii="Open Sans" w:hAnsi="Open Sans" w:cs="Open Sans"/>
                                      <w:sz w:val="16"/>
                                      <w:szCs w:val="16"/>
                                      <w:vertAlign w:val="superscript"/>
                                    </w:rPr>
                                  </w:pPr>
                                  <w:r>
                                    <w:rPr>
                                      <w:rFonts w:ascii="Open Sans" w:hAnsi="Open Sans" w:cs="Open Sans"/>
                                      <w:sz w:val="16"/>
                                      <w:szCs w:val="16"/>
                                    </w:rPr>
                                    <w:t>KPI</w:t>
                                  </w:r>
                                </w:p>
                              </w:tc>
                              <w:tc>
                                <w:tcPr>
                                  <w:tcW w:w="1559" w:type="dxa"/>
                                  <w:shd w:val="clear" w:color="auto" w:fill="D9D9D9"/>
                                </w:tcPr>
                                <w:p w14:paraId="77FEFA7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shd w:val="clear" w:color="auto" w:fill="D9D9D9"/>
                                </w:tcPr>
                                <w:p w14:paraId="0BDB3E03"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74E6B4F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-0,3</w:t>
                                  </w:r>
                                </w:p>
                              </w:tc>
                            </w:tr>
                            <w:tr w:rsidR="00471C5F" w:rsidRPr="0014433C" w14:paraId="1C3A7272" w14:textId="77777777" w:rsidTr="003462C2">
                              <w:tc>
                                <w:tcPr>
                                  <w:tcW w:w="4390" w:type="dxa"/>
                                </w:tcPr>
                                <w:p w14:paraId="40566BA0" w14:textId="77777777" w:rsidR="00471C5F" w:rsidRPr="0014433C" w:rsidRDefault="00471C5F">
                                  <w:pPr>
                                    <w:rPr>
                                      <w:rFonts w:ascii="Open Sans" w:hAnsi="Open Sans" w:cs="Open Sans"/>
                                      <w:sz w:val="16"/>
                                      <w:szCs w:val="16"/>
                                    </w:rPr>
                                  </w:pPr>
                                  <w:r>
                                    <w:rPr>
                                      <w:rFonts w:ascii="Open Sans" w:hAnsi="Open Sans" w:cs="Open Sans"/>
                                      <w:sz w:val="16"/>
                                      <w:szCs w:val="16"/>
                                    </w:rPr>
                                    <w:t>KPI-JAE</w:t>
                                  </w:r>
                                </w:p>
                              </w:tc>
                              <w:tc>
                                <w:tcPr>
                                  <w:tcW w:w="1559" w:type="dxa"/>
                                </w:tcPr>
                                <w:p w14:paraId="4E6BB8E2"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tcPr>
                                <w:p w14:paraId="15A09530"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tcPr>
                                <w:p w14:paraId="4C88192B"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r>
                            <w:tr w:rsidR="00471C5F" w:rsidRPr="0014433C" w14:paraId="4450A3CB" w14:textId="77777777" w:rsidTr="00E56B2E">
                              <w:tc>
                                <w:tcPr>
                                  <w:tcW w:w="4390" w:type="dxa"/>
                                  <w:shd w:val="clear" w:color="auto" w:fill="D9D9D9"/>
                                </w:tcPr>
                                <w:p w14:paraId="09454181" w14:textId="77777777" w:rsidR="00471C5F" w:rsidRPr="0014433C" w:rsidRDefault="00471C5F">
                                  <w:pPr>
                                    <w:rPr>
                                      <w:rFonts w:ascii="Open Sans" w:hAnsi="Open Sans" w:cs="Open Sans"/>
                                      <w:b/>
                                      <w:bCs/>
                                      <w:sz w:val="16"/>
                                      <w:szCs w:val="16"/>
                                    </w:rPr>
                                  </w:pPr>
                                  <w:r>
                                    <w:rPr>
                                      <w:rFonts w:ascii="Open Sans" w:hAnsi="Open Sans" w:cs="Open Sans"/>
                                      <w:b/>
                                      <w:bCs/>
                                      <w:sz w:val="16"/>
                                      <w:szCs w:val="16"/>
                                    </w:rPr>
                                    <w:t>Realøkonomi og arbeidsmarked</w:t>
                                  </w:r>
                                </w:p>
                              </w:tc>
                              <w:tc>
                                <w:tcPr>
                                  <w:tcW w:w="1559" w:type="dxa"/>
                                  <w:shd w:val="clear" w:color="auto" w:fill="D9D9D9"/>
                                </w:tcPr>
                                <w:p w14:paraId="40EEAD48" w14:textId="77777777" w:rsidR="00471C5F" w:rsidRPr="0014433C" w:rsidRDefault="00471C5F" w:rsidP="003462C2">
                                  <w:pPr>
                                    <w:jc w:val="center"/>
                                    <w:rPr>
                                      <w:rFonts w:ascii="Open Sans" w:hAnsi="Open Sans" w:cs="Open Sans"/>
                                      <w:sz w:val="16"/>
                                      <w:szCs w:val="16"/>
                                    </w:rPr>
                                  </w:pPr>
                                </w:p>
                              </w:tc>
                              <w:tc>
                                <w:tcPr>
                                  <w:tcW w:w="1417" w:type="dxa"/>
                                  <w:shd w:val="clear" w:color="auto" w:fill="D9D9D9"/>
                                </w:tcPr>
                                <w:p w14:paraId="1F7A7E92" w14:textId="77777777" w:rsidR="00471C5F" w:rsidRPr="0014433C" w:rsidRDefault="00471C5F" w:rsidP="003462C2">
                                  <w:pPr>
                                    <w:jc w:val="center"/>
                                    <w:rPr>
                                      <w:rFonts w:ascii="Open Sans" w:hAnsi="Open Sans" w:cs="Open Sans"/>
                                      <w:sz w:val="16"/>
                                      <w:szCs w:val="16"/>
                                    </w:rPr>
                                  </w:pPr>
                                </w:p>
                              </w:tc>
                              <w:tc>
                                <w:tcPr>
                                  <w:tcW w:w="1482" w:type="dxa"/>
                                  <w:shd w:val="clear" w:color="auto" w:fill="D9D9D9"/>
                                </w:tcPr>
                                <w:p w14:paraId="39567198" w14:textId="77777777" w:rsidR="00471C5F" w:rsidRPr="0014433C" w:rsidRDefault="00471C5F" w:rsidP="003462C2">
                                  <w:pPr>
                                    <w:jc w:val="center"/>
                                    <w:rPr>
                                      <w:rFonts w:ascii="Open Sans" w:hAnsi="Open Sans" w:cs="Open Sans"/>
                                      <w:sz w:val="16"/>
                                      <w:szCs w:val="16"/>
                                    </w:rPr>
                                  </w:pPr>
                                </w:p>
                              </w:tc>
                            </w:tr>
                            <w:tr w:rsidR="00471C5F" w:rsidRPr="0014433C" w14:paraId="3A584EB6" w14:textId="77777777" w:rsidTr="003462C2">
                              <w:tc>
                                <w:tcPr>
                                  <w:tcW w:w="4390" w:type="dxa"/>
                                </w:tcPr>
                                <w:p w14:paraId="64A878D6" w14:textId="77777777" w:rsidR="00471C5F" w:rsidRPr="0014433C" w:rsidRDefault="00471C5F">
                                  <w:pPr>
                                    <w:rPr>
                                      <w:rFonts w:ascii="Open Sans" w:hAnsi="Open Sans" w:cs="Open Sans"/>
                                      <w:sz w:val="16"/>
                                      <w:szCs w:val="16"/>
                                    </w:rPr>
                                  </w:pPr>
                                  <w:r>
                                    <w:rPr>
                                      <w:rFonts w:ascii="Open Sans" w:hAnsi="Open Sans" w:cs="Open Sans"/>
                                      <w:sz w:val="16"/>
                                      <w:szCs w:val="16"/>
                                    </w:rPr>
                                    <w:t>BNP Fastlands-Norge</w:t>
                                  </w:r>
                                </w:p>
                              </w:tc>
                              <w:tc>
                                <w:tcPr>
                                  <w:tcW w:w="1559" w:type="dxa"/>
                                </w:tcPr>
                                <w:p w14:paraId="2E309EA2"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tcPr>
                                <w:p w14:paraId="1A426E1E"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c>
                                <w:tcPr>
                                  <w:tcW w:w="1482" w:type="dxa"/>
                                </w:tcPr>
                                <w:p w14:paraId="0187306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-0,4</w:t>
                                  </w:r>
                                </w:p>
                              </w:tc>
                            </w:tr>
                            <w:tr w:rsidR="00471C5F" w:rsidRPr="0014433C" w14:paraId="06FC392D" w14:textId="77777777" w:rsidTr="00E56B2E">
                              <w:tc>
                                <w:tcPr>
                                  <w:tcW w:w="4390" w:type="dxa"/>
                                  <w:shd w:val="clear" w:color="auto" w:fill="D9D9D9"/>
                                </w:tcPr>
                                <w:p w14:paraId="68D0628C" w14:textId="77777777" w:rsidR="00471C5F" w:rsidRPr="0014433C" w:rsidRDefault="00471C5F">
                                  <w:pPr>
                                    <w:rPr>
                                      <w:rFonts w:ascii="Open Sans" w:hAnsi="Open Sans" w:cs="Open Sans"/>
                                      <w:sz w:val="16"/>
                                      <w:szCs w:val="16"/>
                                      <w:vertAlign w:val="superscript"/>
                                    </w:rPr>
                                  </w:pPr>
                                  <w:r>
                                    <w:rPr>
                                      <w:rFonts w:ascii="Open Sans" w:hAnsi="Open Sans" w:cs="Open Sans"/>
                                      <w:sz w:val="16"/>
                                      <w:szCs w:val="16"/>
                                    </w:rPr>
                                    <w:t>Sysselsetting (NR)</w:t>
                                  </w:r>
                                </w:p>
                              </w:tc>
                              <w:tc>
                                <w:tcPr>
                                  <w:tcW w:w="1559" w:type="dxa"/>
                                  <w:shd w:val="clear" w:color="auto" w:fill="D9D9D9"/>
                                </w:tcPr>
                                <w:p w14:paraId="1D6196A3"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shd w:val="clear" w:color="auto" w:fill="D9D9D9"/>
                                </w:tcPr>
                                <w:p w14:paraId="43DCB5C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0536162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r>
                            <w:tr w:rsidR="00471C5F" w:rsidRPr="0014433C" w14:paraId="005DDD3F" w14:textId="77777777" w:rsidTr="003462C2">
                              <w:tc>
                                <w:tcPr>
                                  <w:tcW w:w="4390" w:type="dxa"/>
                                  <w:tcBorders>
                                    <w:bottom w:val="single" w:sz="4" w:space="0" w:color="auto"/>
                                  </w:tcBorders>
                                </w:tcPr>
                                <w:p w14:paraId="152A1B83" w14:textId="77777777" w:rsidR="00471C5F" w:rsidRPr="006E44B2" w:rsidRDefault="00471C5F">
                                  <w:pPr>
                                    <w:rPr>
                                      <w:rFonts w:ascii="Open Sans" w:hAnsi="Open Sans" w:cs="Open Sans"/>
                                      <w:sz w:val="16"/>
                                      <w:szCs w:val="16"/>
                                      <w:lang w:val="en-US"/>
                                    </w:rPr>
                                  </w:pPr>
                                  <w:proofErr w:type="spellStart"/>
                                  <w:r>
                                    <w:rPr>
                                      <w:rFonts w:ascii="Open Sans" w:hAnsi="Open Sans" w:cs="Open Sans"/>
                                      <w:sz w:val="16"/>
                                      <w:szCs w:val="16"/>
                                      <w:lang w:val="en-US"/>
                                    </w:rPr>
                                    <w:t>Arbeidsledighet</w:t>
                                  </w:r>
                                  <w:proofErr w:type="spellEnd"/>
                                  <w:r>
                                    <w:rPr>
                                      <w:rFonts w:ascii="Open Sans" w:hAnsi="Open Sans" w:cs="Open Sans"/>
                                      <w:sz w:val="16"/>
                                      <w:szCs w:val="16"/>
                                      <w:lang w:val="en-US"/>
                                    </w:rPr>
                                    <w:t xml:space="preserve"> (AKU)</w:t>
                                  </w:r>
                                  <w:r w:rsidRPr="006E44B2">
                                    <w:rPr>
                                      <w:rFonts w:ascii="Open Sans" w:hAnsi="Open Sans" w:cs="Open Sans"/>
                                      <w:sz w:val="16"/>
                                      <w:szCs w:val="16"/>
                                      <w:lang w:val="en-US"/>
                                    </w:rPr>
                                    <w:t xml:space="preserve"> </w:t>
                                  </w:r>
                                </w:p>
                              </w:tc>
                              <w:tc>
                                <w:tcPr>
                                  <w:tcW w:w="1559" w:type="dxa"/>
                                  <w:tcBorders>
                                    <w:bottom w:val="single" w:sz="4" w:space="0" w:color="auto"/>
                                  </w:tcBorders>
                                </w:tcPr>
                                <w:p w14:paraId="0B6E31DB"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+0,0</w:t>
                                  </w:r>
                                </w:p>
                              </w:tc>
                              <w:tc>
                                <w:tcPr>
                                  <w:tcW w:w="1417" w:type="dxa"/>
                                  <w:tcBorders>
                                    <w:bottom w:val="single" w:sz="4" w:space="0" w:color="auto"/>
                                  </w:tcBorders>
                                </w:tcPr>
                                <w:p w14:paraId="1D7B5A0E"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+0,0</w:t>
                                  </w:r>
                                </w:p>
                              </w:tc>
                              <w:tc>
                                <w:tcPr>
                                  <w:tcW w:w="1482" w:type="dxa"/>
                                  <w:tcBorders>
                                    <w:bottom w:val="single" w:sz="4" w:space="0" w:color="auto"/>
                                  </w:tcBorders>
                                </w:tcPr>
                                <w:p w14:paraId="203A871B"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+0,1</w:t>
                                  </w:r>
                                </w:p>
                              </w:tc>
                            </w:tr>
                          </w:tbl>
                          <w:p w14:paraId="2BFD6379" w14:textId="77777777" w:rsidR="00471C5F" w:rsidRPr="0014433C" w:rsidRDefault="00471C5F" w:rsidP="00471C5F">
                            <w:pPr>
                              <w:adjustRightInd w:val="0"/>
                              <w:snapToGrid w:val="0"/>
                              <w:spacing w:before="40"/>
                              <w:rPr>
                                <w:sz w:val="16"/>
                                <w:szCs w:val="16"/>
                              </w:rPr>
                            </w:pPr>
                            <w:r w:rsidRPr="0014433C">
                              <w:rPr>
                                <w:sz w:val="16"/>
                                <w:szCs w:val="16"/>
                                <w:vertAlign w:val="superscript"/>
                              </w:rPr>
                              <w:t xml:space="preserve">1 </w:t>
                            </w:r>
                            <w:r>
                              <w:rPr>
                                <w:sz w:val="16"/>
                                <w:szCs w:val="16"/>
                              </w:rPr>
                              <w:t>Negativt fortegn betyr kronestyrking.</w:t>
                            </w:r>
                          </w:p>
                          <w:p w14:paraId="32DDEB88" w14:textId="77777777" w:rsidR="00471C5F" w:rsidRDefault="00471C5F" w:rsidP="00471C5F">
                            <w:pPr>
                              <w:rPr>
                                <w:sz w:val="14"/>
                                <w:szCs w:val="14"/>
                              </w:rPr>
                            </w:pPr>
                          </w:p>
                          <w:p w14:paraId="06A188B7" w14:textId="77777777" w:rsidR="00471C5F" w:rsidRPr="0014433C" w:rsidRDefault="00471C5F" w:rsidP="00471C5F">
                            <w:pPr>
                              <w:rPr>
                                <w:rFonts w:ascii="Open Sans" w:hAnsi="Open Sans" w:cs="Open Sans"/>
                                <w:sz w:val="18"/>
                                <w:szCs w:val="18"/>
                              </w:rPr>
                            </w:pPr>
                            <w:r w:rsidRPr="0014433C">
                              <w:rPr>
                                <w:rFonts w:ascii="Open Sans" w:hAnsi="Open Sans" w:cs="Open Sans"/>
                                <w:sz w:val="18"/>
                                <w:szCs w:val="18"/>
                              </w:rPr>
                              <w:t xml:space="preserve">Alt i alt vil </w:t>
                            </w:r>
                            <w:r>
                              <w:rPr>
                                <w:rFonts w:ascii="Open Sans" w:hAnsi="Open Sans" w:cs="Open Sans"/>
                                <w:sz w:val="18"/>
                                <w:szCs w:val="18"/>
                              </w:rPr>
                              <w:t xml:space="preserve">krona, under den nye rentebanen, styrke seg 1,5 pst. mer i 2023 og 0,8 pst. mer i 2024 enn det den forrige rentebanen tilsa.  </w:t>
                            </w:r>
                            <w:r w:rsidRPr="0014433C">
                              <w:rPr>
                                <w:rFonts w:ascii="Open Sans" w:hAnsi="Open Sans" w:cs="Open Sans"/>
                                <w:sz w:val="18"/>
                                <w:szCs w:val="18"/>
                              </w:rPr>
                              <w:t>BNP Fastlands-Norg</w:t>
                            </w:r>
                            <w:r>
                              <w:rPr>
                                <w:rFonts w:ascii="Open Sans" w:hAnsi="Open Sans" w:cs="Open Sans"/>
                                <w:sz w:val="18"/>
                                <w:szCs w:val="18"/>
                              </w:rPr>
                              <w:t>e vil være</w:t>
                            </w:r>
                            <w:r w:rsidRPr="0014433C">
                              <w:rPr>
                                <w:rFonts w:ascii="Open Sans" w:hAnsi="Open Sans" w:cs="Open Sans"/>
                                <w:sz w:val="18"/>
                                <w:szCs w:val="18"/>
                              </w:rPr>
                              <w:t xml:space="preserve"> 0,</w:t>
                            </w:r>
                            <w:r>
                              <w:rPr>
                                <w:rFonts w:ascii="Open Sans" w:hAnsi="Open Sans" w:cs="Open Sans"/>
                                <w:sz w:val="18"/>
                                <w:szCs w:val="18"/>
                              </w:rPr>
                              <w:t>2</w:t>
                            </w:r>
                            <w:r w:rsidRPr="0014433C">
                              <w:rPr>
                                <w:rFonts w:ascii="Open Sans" w:hAnsi="Open Sans" w:cs="Open Sans"/>
                                <w:sz w:val="18"/>
                                <w:szCs w:val="18"/>
                              </w:rPr>
                              <w:t xml:space="preserve"> p</w:t>
                            </w:r>
                            <w:r>
                              <w:rPr>
                                <w:rFonts w:ascii="Open Sans" w:hAnsi="Open Sans" w:cs="Open Sans"/>
                                <w:sz w:val="18"/>
                                <w:szCs w:val="18"/>
                              </w:rPr>
                              <w:t>s</w:t>
                            </w:r>
                            <w:r w:rsidRPr="0014433C">
                              <w:rPr>
                                <w:rFonts w:ascii="Open Sans" w:hAnsi="Open Sans" w:cs="Open Sans"/>
                                <w:sz w:val="18"/>
                                <w:szCs w:val="18"/>
                              </w:rPr>
                              <w:t>t</w:t>
                            </w:r>
                            <w:r>
                              <w:rPr>
                                <w:rFonts w:ascii="Open Sans" w:hAnsi="Open Sans" w:cs="Open Sans"/>
                                <w:sz w:val="18"/>
                                <w:szCs w:val="18"/>
                              </w:rPr>
                              <w:t>.</w:t>
                            </w:r>
                            <w:r w:rsidRPr="0014433C">
                              <w:rPr>
                                <w:rFonts w:ascii="Open Sans" w:hAnsi="Open Sans" w:cs="Open Sans"/>
                                <w:sz w:val="18"/>
                                <w:szCs w:val="18"/>
                              </w:rPr>
                              <w:t xml:space="preserve"> lavere i 202</w:t>
                            </w:r>
                            <w:r>
                              <w:rPr>
                                <w:rFonts w:ascii="Open Sans" w:hAnsi="Open Sans" w:cs="Open Sans"/>
                                <w:sz w:val="18"/>
                                <w:szCs w:val="18"/>
                              </w:rPr>
                              <w:t>3</w:t>
                            </w:r>
                            <w:r w:rsidRPr="0014433C">
                              <w:rPr>
                                <w:rFonts w:ascii="Open Sans" w:hAnsi="Open Sans" w:cs="Open Sans"/>
                                <w:sz w:val="18"/>
                                <w:szCs w:val="18"/>
                              </w:rPr>
                              <w:t xml:space="preserve"> og 0,</w:t>
                            </w:r>
                            <w:r>
                              <w:rPr>
                                <w:rFonts w:ascii="Open Sans" w:hAnsi="Open Sans" w:cs="Open Sans"/>
                                <w:sz w:val="18"/>
                                <w:szCs w:val="18"/>
                              </w:rPr>
                              <w:t>4</w:t>
                            </w:r>
                            <w:r w:rsidRPr="0014433C">
                              <w:rPr>
                                <w:rFonts w:ascii="Open Sans" w:hAnsi="Open Sans" w:cs="Open Sans"/>
                                <w:sz w:val="18"/>
                                <w:szCs w:val="18"/>
                              </w:rPr>
                              <w:t xml:space="preserve"> pst</w:t>
                            </w:r>
                            <w:r>
                              <w:rPr>
                                <w:rFonts w:ascii="Open Sans" w:hAnsi="Open Sans" w:cs="Open Sans"/>
                                <w:sz w:val="18"/>
                                <w:szCs w:val="18"/>
                              </w:rPr>
                              <w:t>.</w:t>
                            </w:r>
                            <w:r w:rsidRPr="0014433C">
                              <w:rPr>
                                <w:rFonts w:ascii="Open Sans" w:hAnsi="Open Sans" w:cs="Open Sans"/>
                                <w:sz w:val="18"/>
                                <w:szCs w:val="18"/>
                              </w:rPr>
                              <w:t xml:space="preserve"> lavere i 202</w:t>
                            </w:r>
                            <w:r>
                              <w:rPr>
                                <w:rFonts w:ascii="Open Sans" w:hAnsi="Open Sans" w:cs="Open Sans"/>
                                <w:sz w:val="18"/>
                                <w:szCs w:val="18"/>
                              </w:rPr>
                              <w:t>4</w:t>
                            </w:r>
                            <w:r w:rsidRPr="0014433C">
                              <w:rPr>
                                <w:rFonts w:ascii="Open Sans" w:hAnsi="Open Sans" w:cs="Open Sans"/>
                                <w:sz w:val="18"/>
                                <w:szCs w:val="18"/>
                              </w:rPr>
                              <w:t>.</w:t>
                            </w:r>
                            <w:r>
                              <w:rPr>
                                <w:rFonts w:ascii="Open Sans" w:hAnsi="Open Sans" w:cs="Open Sans"/>
                                <w:sz w:val="18"/>
                                <w:szCs w:val="18"/>
                              </w:rPr>
                              <w:t xml:space="preserve"> Sysselsettingen vil vokse 0,1 pst. mindre i 2023 og 0,2 pst. mindre i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60EC" id="Tekstboks 12" o:spid="_x0000_s1027" type="#_x0000_t202" style="position:absolute;margin-left:-13.7pt;margin-top:-.1pt;width:465.05pt;height:521.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" fillcolor="window" strokeweight=".5pt">
                <v:textbox>
                  <w:txbxContent>
                    <w:p w14:paraId="05A17E94" w14:textId="28ADB556" w:rsidR="00471C5F" w:rsidRPr="00E56B2E" w:rsidRDefault="00471C5F" w:rsidP="00471C5F">
                      <w:pPr>
                        <w:jc w:val="both"/>
                        <w:rPr>
                          <w:rFonts w:ascii="Open Sans" w:hAnsi="Open Sans" w:cs="Open Sans"/>
                          <w:b/>
                          <w:bCs/>
                          <w:szCs w:val="20"/>
                        </w:rPr>
                      </w:pPr>
                      <w:r w:rsidRPr="00E82E4B">
                        <w:rPr>
                          <w:rFonts w:ascii="Open Sans" w:hAnsi="Open Sans" w:cs="Open Sans"/>
                          <w:b/>
                          <w:bCs/>
                          <w:szCs w:val="20"/>
                        </w:rPr>
                        <w:t xml:space="preserve">Boks </w:t>
                      </w:r>
                      <w:r>
                        <w:rPr>
                          <w:rFonts w:ascii="Open Sans" w:hAnsi="Open Sans" w:cs="Open Sans"/>
                          <w:b/>
                          <w:bCs/>
                          <w:szCs w:val="20"/>
                        </w:rPr>
                        <w:t>2</w:t>
                      </w:r>
                      <w:r w:rsidRPr="00E82E4B">
                        <w:rPr>
                          <w:rFonts w:ascii="Open Sans" w:hAnsi="Open Sans" w:cs="Open Sans"/>
                          <w:b/>
                          <w:bCs/>
                          <w:szCs w:val="20"/>
                        </w:rPr>
                        <w:t xml:space="preserve">: </w:t>
                      </w:r>
                      <w:r>
                        <w:rPr>
                          <w:rFonts w:ascii="Open Sans" w:hAnsi="Open Sans" w:cs="Open Sans"/>
                          <w:b/>
                          <w:bCs/>
                          <w:szCs w:val="20"/>
                        </w:rPr>
                        <w:t>Hva betyr den oppjusterte rentebanen fra Norges Bank – en skiftberegning via NAM-modellen</w:t>
                      </w:r>
                    </w:p>
                    <w:p w14:paraId="1F81B52E" w14:textId="3FD024F8" w:rsidR="00471C5F" w:rsidRPr="00E56B2E" w:rsidRDefault="00471C5F" w:rsidP="00471C5F">
                      <w:pPr>
                        <w:jc w:val="both"/>
                        <w:rPr>
                          <w:rFonts w:ascii="Open Sans" w:hAnsi="Open Sans" w:cs="Open Sans"/>
                          <w:sz w:val="18"/>
                          <w:szCs w:val="18"/>
                        </w:rPr>
                      </w:pPr>
                      <w:r>
                        <w:rPr>
                          <w:rFonts w:ascii="Open Sans" w:hAnsi="Open Sans" w:cs="Open Sans"/>
                          <w:sz w:val="18"/>
                          <w:szCs w:val="18"/>
                        </w:rPr>
                        <w:t xml:space="preserve">Norges Bank la fram en ny rentebane i mars 2022 som innebærer </w:t>
                      </w:r>
                      <w:r w:rsidR="00631958">
                        <w:rPr>
                          <w:rFonts w:ascii="Open Sans" w:hAnsi="Open Sans" w:cs="Open Sans"/>
                          <w:sz w:val="18"/>
                          <w:szCs w:val="18"/>
                        </w:rPr>
                        <w:t xml:space="preserve">en </w:t>
                      </w:r>
                      <w:r>
                        <w:rPr>
                          <w:rFonts w:ascii="Open Sans" w:hAnsi="Open Sans" w:cs="Open Sans"/>
                          <w:sz w:val="18"/>
                          <w:szCs w:val="18"/>
                        </w:rPr>
                        <w:t>raskere og sterkere renteoppgang enn den forrige rentebanen (fra desember 2021).  Ved hjelp av modellverktøyet NAM har vi gjennomført en skiftberegning som viser at den nye rentebanen, sammenli</w:t>
                      </w:r>
                      <w:r w:rsidR="00631958">
                        <w:rPr>
                          <w:rFonts w:ascii="Open Sans" w:hAnsi="Open Sans" w:cs="Open Sans"/>
                          <w:sz w:val="18"/>
                          <w:szCs w:val="18"/>
                        </w:rPr>
                        <w:t>g</w:t>
                      </w:r>
                      <w:r>
                        <w:rPr>
                          <w:rFonts w:ascii="Open Sans" w:hAnsi="Open Sans" w:cs="Open Sans"/>
                          <w:sz w:val="18"/>
                          <w:szCs w:val="18"/>
                        </w:rPr>
                        <w:t xml:space="preserve">net med den forrige rentebanen og alt annet likt, vil føre til sterkere kronestyrking framover og sterkere innstramningseffekt på realøkonomien og arbeidsmarkedet, i tillegg til noe sterkere avdempingseffekt på konsumprisstigninger. Effektene kommer mer til syne i 2023 og 2024. </w:t>
                      </w:r>
                    </w:p>
                    <w:p w14:paraId="4E106F24" w14:textId="4493C6FE" w:rsidR="00471C5F" w:rsidRPr="0014433C" w:rsidRDefault="00471C5F" w:rsidP="00471C5F">
                      <w:pPr>
                        <w:jc w:val="both"/>
                        <w:rPr>
                          <w:rFonts w:ascii="Open Sans" w:hAnsi="Open Sans" w:cs="Open Sans"/>
                          <w:b/>
                          <w:bCs/>
                          <w:sz w:val="16"/>
                          <w:szCs w:val="16"/>
                        </w:rPr>
                      </w:pPr>
                      <w:r w:rsidRPr="0014433C">
                        <w:rPr>
                          <w:rFonts w:ascii="Open Sans" w:hAnsi="Open Sans" w:cs="Open Sans"/>
                          <w:b/>
                          <w:bCs/>
                          <w:sz w:val="16"/>
                          <w:szCs w:val="16"/>
                        </w:rPr>
                        <w:t xml:space="preserve">Virkningstabellen: </w:t>
                      </w:r>
                      <w:r>
                        <w:rPr>
                          <w:rFonts w:ascii="Open Sans" w:hAnsi="Open Sans" w:cs="Open Sans"/>
                          <w:b/>
                          <w:bCs/>
                          <w:sz w:val="16"/>
                          <w:szCs w:val="16"/>
                        </w:rPr>
                        <w:t>Prognosebanen i henhold til Norge Banks nye rentebane fra mars 2022</w:t>
                      </w:r>
                      <w:r w:rsidRPr="0014433C">
                        <w:rPr>
                          <w:rFonts w:ascii="Open Sans" w:hAnsi="Open Sans" w:cs="Open Sans"/>
                          <w:b/>
                          <w:bCs/>
                          <w:sz w:val="16"/>
                          <w:szCs w:val="16"/>
                        </w:rPr>
                        <w:t xml:space="preserve">. </w:t>
                      </w:r>
                      <w:r>
                        <w:rPr>
                          <w:rFonts w:ascii="Open Sans" w:hAnsi="Open Sans" w:cs="Open Sans"/>
                          <w:b/>
                          <w:bCs/>
                          <w:sz w:val="16"/>
                          <w:szCs w:val="16"/>
                        </w:rPr>
                        <w:t>A</w:t>
                      </w:r>
                      <w:r w:rsidRPr="0014433C">
                        <w:rPr>
                          <w:rFonts w:ascii="Open Sans" w:hAnsi="Open Sans" w:cs="Open Sans"/>
                          <w:b/>
                          <w:bCs/>
                          <w:sz w:val="16"/>
                          <w:szCs w:val="16"/>
                        </w:rPr>
                        <w:t>vvik</w:t>
                      </w:r>
                      <w:r>
                        <w:rPr>
                          <w:rFonts w:ascii="Open Sans" w:hAnsi="Open Sans" w:cs="Open Sans"/>
                          <w:b/>
                          <w:bCs/>
                          <w:sz w:val="16"/>
                          <w:szCs w:val="16"/>
                        </w:rPr>
                        <w:t xml:space="preserve"> i prosentpoeng</w:t>
                      </w:r>
                      <w:r w:rsidRPr="0014433C">
                        <w:rPr>
                          <w:rFonts w:ascii="Open Sans" w:hAnsi="Open Sans" w:cs="Open Sans"/>
                          <w:b/>
                          <w:bCs/>
                          <w:sz w:val="16"/>
                          <w:szCs w:val="16"/>
                        </w:rPr>
                        <w:t xml:space="preserve"> fra prognosebanen</w:t>
                      </w:r>
                      <w:r>
                        <w:rPr>
                          <w:rFonts w:ascii="Open Sans" w:hAnsi="Open Sans" w:cs="Open Sans"/>
                          <w:b/>
                          <w:bCs/>
                          <w:sz w:val="16"/>
                          <w:szCs w:val="16"/>
                        </w:rPr>
                        <w:t xml:space="preserve"> i henhold til forrige rentebane fra desember 2021</w:t>
                      </w:r>
                      <w:r w:rsidRPr="0014433C">
                        <w:rPr>
                          <w:rFonts w:ascii="Open Sans" w:hAnsi="Open Sans" w:cs="Open Sans"/>
                          <w:b/>
                          <w:bCs/>
                          <w:sz w:val="16"/>
                          <w:szCs w:val="16"/>
                        </w:rPr>
                        <w:t xml:space="preserve"> der ikke annet framgår</w:t>
                      </w:r>
                      <w:r>
                        <w:rPr>
                          <w:rFonts w:ascii="Open Sans" w:hAnsi="Open Sans" w:cs="Open Sans"/>
                          <w:b/>
                          <w:bCs/>
                          <w:sz w:val="16"/>
                          <w:szCs w:val="16"/>
                        </w:rPr>
                        <w:t>.</w:t>
                      </w:r>
                    </w:p>
                    <w:tbl>
                      <w:tblPr>
                        <w:tblStyle w:val="Tabellrutenet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559"/>
                        <w:gridCol w:w="1417"/>
                        <w:gridCol w:w="1482"/>
                      </w:tblGrid>
                      <w:tr w:rsidR="00471C5F" w:rsidRPr="0014433C" w14:paraId="4FA85A07" w14:textId="77777777" w:rsidTr="003462C2">
                        <w:tc>
                          <w:tcPr>
                            <w:tcW w:w="4390" w:type="dxa"/>
                            <w:tcBorders>
                              <w:top w:val="single" w:sz="4" w:space="0" w:color="auto"/>
                              <w:bottom w:val="single" w:sz="4" w:space="0" w:color="auto"/>
                            </w:tcBorders>
                          </w:tcPr>
                          <w:p w14:paraId="67849237" w14:textId="77777777" w:rsidR="00471C5F" w:rsidRPr="0014433C" w:rsidRDefault="00471C5F">
                            <w:pPr>
                              <w:rPr>
                                <w:rFonts w:ascii="Open Sans" w:hAnsi="Open Sans" w:cs="Open Sans"/>
                                <w:sz w:val="16"/>
                                <w:szCs w:val="16"/>
                              </w:rPr>
                            </w:pPr>
                          </w:p>
                        </w:tc>
                        <w:tc>
                          <w:tcPr>
                            <w:tcW w:w="1559" w:type="dxa"/>
                            <w:tcBorders>
                              <w:top w:val="single" w:sz="4" w:space="0" w:color="auto"/>
                              <w:bottom w:val="single" w:sz="4" w:space="0" w:color="auto"/>
                            </w:tcBorders>
                          </w:tcPr>
                          <w:p w14:paraId="63EA3586"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2022</w:t>
                            </w:r>
                          </w:p>
                        </w:tc>
                        <w:tc>
                          <w:tcPr>
                            <w:tcW w:w="1417" w:type="dxa"/>
                            <w:tcBorders>
                              <w:top w:val="single" w:sz="4" w:space="0" w:color="auto"/>
                              <w:bottom w:val="single" w:sz="4" w:space="0" w:color="auto"/>
                            </w:tcBorders>
                          </w:tcPr>
                          <w:p w14:paraId="2B1444F3"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2023</w:t>
                            </w:r>
                          </w:p>
                        </w:tc>
                        <w:tc>
                          <w:tcPr>
                            <w:tcW w:w="1482" w:type="dxa"/>
                            <w:tcBorders>
                              <w:top w:val="single" w:sz="4" w:space="0" w:color="auto"/>
                              <w:bottom w:val="single" w:sz="4" w:space="0" w:color="auto"/>
                            </w:tcBorders>
                          </w:tcPr>
                          <w:p w14:paraId="43A5EE00" w14:textId="77777777" w:rsidR="00471C5F" w:rsidRPr="0014433C" w:rsidRDefault="00471C5F" w:rsidP="003462C2">
                            <w:pPr>
                              <w:jc w:val="center"/>
                              <w:rPr>
                                <w:rFonts w:ascii="Open Sans" w:hAnsi="Open Sans" w:cs="Open Sans"/>
                                <w:sz w:val="16"/>
                                <w:szCs w:val="16"/>
                              </w:rPr>
                            </w:pPr>
                            <w:r w:rsidRPr="0014433C">
                              <w:rPr>
                                <w:rFonts w:ascii="Open Sans" w:hAnsi="Open Sans" w:cs="Open Sans"/>
                                <w:sz w:val="16"/>
                                <w:szCs w:val="16"/>
                              </w:rPr>
                              <w:t>2024</w:t>
                            </w:r>
                          </w:p>
                        </w:tc>
                      </w:tr>
                      <w:tr w:rsidR="00471C5F" w:rsidRPr="0014433C" w14:paraId="08454E54" w14:textId="77777777" w:rsidTr="00E56B2E">
                        <w:tc>
                          <w:tcPr>
                            <w:tcW w:w="4390" w:type="dxa"/>
                            <w:tcBorders>
                              <w:top w:val="single" w:sz="4" w:space="0" w:color="auto"/>
                            </w:tcBorders>
                            <w:shd w:val="clear" w:color="auto" w:fill="D9D9D9"/>
                          </w:tcPr>
                          <w:p w14:paraId="0892AB31" w14:textId="77777777" w:rsidR="00471C5F" w:rsidRPr="00B07533" w:rsidRDefault="00471C5F">
                            <w:pPr>
                              <w:rPr>
                                <w:rFonts w:ascii="Open Sans" w:hAnsi="Open Sans" w:cs="Open Sans"/>
                                <w:b/>
                                <w:bCs/>
                                <w:sz w:val="16"/>
                                <w:szCs w:val="16"/>
                              </w:rPr>
                            </w:pPr>
                            <w:r w:rsidRPr="00B07533">
                              <w:rPr>
                                <w:rFonts w:ascii="Open Sans" w:hAnsi="Open Sans" w:cs="Open Sans"/>
                                <w:b/>
                                <w:bCs/>
                                <w:sz w:val="16"/>
                                <w:szCs w:val="16"/>
                              </w:rPr>
                              <w:t>Kronekurs og konsumpriser</w:t>
                            </w:r>
                          </w:p>
                        </w:tc>
                        <w:tc>
                          <w:tcPr>
                            <w:tcW w:w="1559" w:type="dxa"/>
                            <w:tcBorders>
                              <w:top w:val="single" w:sz="4" w:space="0" w:color="auto"/>
                            </w:tcBorders>
                            <w:shd w:val="clear" w:color="auto" w:fill="D9D9D9"/>
                          </w:tcPr>
                          <w:p w14:paraId="7DBE38CF" w14:textId="77777777" w:rsidR="00471C5F" w:rsidRPr="0014433C" w:rsidRDefault="00471C5F" w:rsidP="003462C2">
                            <w:pPr>
                              <w:jc w:val="center"/>
                              <w:rPr>
                                <w:rFonts w:ascii="Open Sans" w:hAnsi="Open Sans" w:cs="Open Sans"/>
                                <w:sz w:val="16"/>
                                <w:szCs w:val="16"/>
                              </w:rPr>
                            </w:pPr>
                          </w:p>
                        </w:tc>
                        <w:tc>
                          <w:tcPr>
                            <w:tcW w:w="1417" w:type="dxa"/>
                            <w:tcBorders>
                              <w:top w:val="single" w:sz="4" w:space="0" w:color="auto"/>
                            </w:tcBorders>
                            <w:shd w:val="clear" w:color="auto" w:fill="D9D9D9"/>
                          </w:tcPr>
                          <w:p w14:paraId="05965E61" w14:textId="77777777" w:rsidR="00471C5F" w:rsidRPr="0014433C" w:rsidRDefault="00471C5F" w:rsidP="003462C2">
                            <w:pPr>
                              <w:jc w:val="center"/>
                              <w:rPr>
                                <w:rFonts w:ascii="Open Sans" w:hAnsi="Open Sans" w:cs="Open Sans"/>
                                <w:sz w:val="16"/>
                                <w:szCs w:val="16"/>
                              </w:rPr>
                            </w:pPr>
                          </w:p>
                        </w:tc>
                        <w:tc>
                          <w:tcPr>
                            <w:tcW w:w="1482" w:type="dxa"/>
                            <w:tcBorders>
                              <w:top w:val="single" w:sz="4" w:space="0" w:color="auto"/>
                            </w:tcBorders>
                            <w:shd w:val="clear" w:color="auto" w:fill="D9D9D9"/>
                          </w:tcPr>
                          <w:p w14:paraId="74AF6868" w14:textId="77777777" w:rsidR="00471C5F" w:rsidRPr="0014433C" w:rsidRDefault="00471C5F" w:rsidP="003462C2">
                            <w:pPr>
                              <w:jc w:val="center"/>
                              <w:rPr>
                                <w:rFonts w:ascii="Open Sans" w:hAnsi="Open Sans" w:cs="Open Sans"/>
                                <w:sz w:val="16"/>
                                <w:szCs w:val="16"/>
                              </w:rPr>
                            </w:pPr>
                          </w:p>
                        </w:tc>
                      </w:tr>
                      <w:tr w:rsidR="00471C5F" w:rsidRPr="0014433C" w14:paraId="45A61698" w14:textId="77777777" w:rsidTr="003462C2">
                        <w:tc>
                          <w:tcPr>
                            <w:tcW w:w="4390" w:type="dxa"/>
                          </w:tcPr>
                          <w:p w14:paraId="65DA9965" w14:textId="77777777" w:rsidR="00471C5F" w:rsidRPr="0014433C" w:rsidRDefault="00471C5F">
                            <w:pPr>
                              <w:rPr>
                                <w:rFonts w:ascii="Open Sans" w:hAnsi="Open Sans" w:cs="Open Sans"/>
                                <w:sz w:val="16"/>
                                <w:szCs w:val="16"/>
                              </w:rPr>
                            </w:pPr>
                            <w:r>
                              <w:rPr>
                                <w:rFonts w:ascii="Open Sans" w:hAnsi="Open Sans" w:cs="Open Sans"/>
                                <w:sz w:val="16"/>
                                <w:szCs w:val="16"/>
                              </w:rPr>
                              <w:t>Kronekurs I44</w:t>
                            </w:r>
                          </w:p>
                        </w:tc>
                        <w:tc>
                          <w:tcPr>
                            <w:tcW w:w="1559" w:type="dxa"/>
                          </w:tcPr>
                          <w:p w14:paraId="0E3BB05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-0,4</w:t>
                            </w:r>
                          </w:p>
                        </w:tc>
                        <w:tc>
                          <w:tcPr>
                            <w:tcW w:w="1417" w:type="dxa"/>
                          </w:tcPr>
                          <w:p w14:paraId="22E84AED"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-1,5</w:t>
                            </w:r>
                          </w:p>
                        </w:tc>
                        <w:tc>
                          <w:tcPr>
                            <w:tcW w:w="1482" w:type="dxa"/>
                          </w:tcPr>
                          <w:p w14:paraId="448F39B8"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-0,8</w:t>
                            </w:r>
                          </w:p>
                        </w:tc>
                      </w:tr>
                      <w:tr w:rsidR="00471C5F" w:rsidRPr="0014433C" w14:paraId="51B8F9DD" w14:textId="77777777" w:rsidTr="00E56B2E">
                        <w:tc>
                          <w:tcPr>
                            <w:tcW w:w="4390" w:type="dxa"/>
                            <w:shd w:val="clear" w:color="auto" w:fill="D9D9D9"/>
                          </w:tcPr>
                          <w:p w14:paraId="0FBD9B64" w14:textId="77777777" w:rsidR="00471C5F" w:rsidRPr="0014433C" w:rsidRDefault="00471C5F">
                            <w:pPr>
                              <w:rPr>
                                <w:rFonts w:ascii="Open Sans" w:hAnsi="Open Sans" w:cs="Open Sans"/>
                                <w:sz w:val="16"/>
                                <w:szCs w:val="16"/>
                                <w:vertAlign w:val="superscript"/>
                              </w:rPr>
                            </w:pPr>
                            <w:r>
                              <w:rPr>
                                <w:rFonts w:ascii="Open Sans" w:hAnsi="Open Sans" w:cs="Open Sans"/>
                                <w:sz w:val="16"/>
                                <w:szCs w:val="16"/>
                              </w:rPr>
                              <w:t>KPI</w:t>
                            </w:r>
                          </w:p>
                        </w:tc>
                        <w:tc>
                          <w:tcPr>
                            <w:tcW w:w="1559" w:type="dxa"/>
                            <w:shd w:val="clear" w:color="auto" w:fill="D9D9D9"/>
                          </w:tcPr>
                          <w:p w14:paraId="77FEFA7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shd w:val="clear" w:color="auto" w:fill="D9D9D9"/>
                          </w:tcPr>
                          <w:p w14:paraId="0BDB3E03"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74E6B4F4"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-0,3</w:t>
                            </w:r>
                          </w:p>
                        </w:tc>
                      </w:tr>
                      <w:tr w:rsidR="00471C5F" w:rsidRPr="0014433C" w14:paraId="1C3A7272" w14:textId="77777777" w:rsidTr="003462C2">
                        <w:tc>
                          <w:tcPr>
                            <w:tcW w:w="4390" w:type="dxa"/>
                          </w:tcPr>
                          <w:p w14:paraId="40566BA0" w14:textId="77777777" w:rsidR="00471C5F" w:rsidRPr="0014433C" w:rsidRDefault="00471C5F">
                            <w:pPr>
                              <w:rPr>
                                <w:rFonts w:ascii="Open Sans" w:hAnsi="Open Sans" w:cs="Open Sans"/>
                                <w:sz w:val="16"/>
                                <w:szCs w:val="16"/>
                              </w:rPr>
                            </w:pPr>
                            <w:r>
                              <w:rPr>
                                <w:rFonts w:ascii="Open Sans" w:hAnsi="Open Sans" w:cs="Open Sans"/>
                                <w:sz w:val="16"/>
                                <w:szCs w:val="16"/>
                              </w:rPr>
                              <w:t>KPI-JAE</w:t>
                            </w:r>
                          </w:p>
                        </w:tc>
                        <w:tc>
                          <w:tcPr>
                            <w:tcW w:w="1559" w:type="dxa"/>
                          </w:tcPr>
                          <w:p w14:paraId="4E6BB8E2"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tcPr>
                          <w:p w14:paraId="15A09530"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tcPr>
                          <w:p w14:paraId="4C88192B"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r>
                      <w:tr w:rsidR="00471C5F" w:rsidRPr="0014433C" w14:paraId="4450A3CB" w14:textId="77777777" w:rsidTr="00E56B2E">
                        <w:tc>
                          <w:tcPr>
                            <w:tcW w:w="4390" w:type="dxa"/>
                            <w:shd w:val="clear" w:color="auto" w:fill="D9D9D9"/>
                          </w:tcPr>
                          <w:p w14:paraId="09454181" w14:textId="77777777" w:rsidR="00471C5F" w:rsidRPr="0014433C" w:rsidRDefault="00471C5F">
                            <w:pPr>
                              <w:rPr>
                                <w:rFonts w:ascii="Open Sans" w:hAnsi="Open Sans" w:cs="Open Sans"/>
                                <w:b/>
                                <w:bCs/>
                                <w:sz w:val="16"/>
                                <w:szCs w:val="16"/>
                              </w:rPr>
                            </w:pPr>
                            <w:r>
                              <w:rPr>
                                <w:rFonts w:ascii="Open Sans" w:hAnsi="Open Sans" w:cs="Open Sans"/>
                                <w:b/>
                                <w:bCs/>
                                <w:sz w:val="16"/>
                                <w:szCs w:val="16"/>
                              </w:rPr>
                              <w:t>Realøkonomi og arbeidsmarked</w:t>
                            </w:r>
                          </w:p>
                        </w:tc>
                        <w:tc>
                          <w:tcPr>
                            <w:tcW w:w="1559" w:type="dxa"/>
                            <w:shd w:val="clear" w:color="auto" w:fill="D9D9D9"/>
                          </w:tcPr>
                          <w:p w14:paraId="40EEAD48" w14:textId="77777777" w:rsidR="00471C5F" w:rsidRPr="0014433C" w:rsidRDefault="00471C5F" w:rsidP="003462C2">
                            <w:pPr>
                              <w:jc w:val="center"/>
                              <w:rPr>
                                <w:rFonts w:ascii="Open Sans" w:hAnsi="Open Sans" w:cs="Open Sans"/>
                                <w:sz w:val="16"/>
                                <w:szCs w:val="16"/>
                              </w:rPr>
                            </w:pPr>
                          </w:p>
                        </w:tc>
                        <w:tc>
                          <w:tcPr>
                            <w:tcW w:w="1417" w:type="dxa"/>
                            <w:shd w:val="clear" w:color="auto" w:fill="D9D9D9"/>
                          </w:tcPr>
                          <w:p w14:paraId="1F7A7E92" w14:textId="77777777" w:rsidR="00471C5F" w:rsidRPr="0014433C" w:rsidRDefault="00471C5F" w:rsidP="003462C2">
                            <w:pPr>
                              <w:jc w:val="center"/>
                              <w:rPr>
                                <w:rFonts w:ascii="Open Sans" w:hAnsi="Open Sans" w:cs="Open Sans"/>
                                <w:sz w:val="16"/>
                                <w:szCs w:val="16"/>
                              </w:rPr>
                            </w:pPr>
                          </w:p>
                        </w:tc>
                        <w:tc>
                          <w:tcPr>
                            <w:tcW w:w="1482" w:type="dxa"/>
                            <w:shd w:val="clear" w:color="auto" w:fill="D9D9D9"/>
                          </w:tcPr>
                          <w:p w14:paraId="39567198" w14:textId="77777777" w:rsidR="00471C5F" w:rsidRPr="0014433C" w:rsidRDefault="00471C5F" w:rsidP="003462C2">
                            <w:pPr>
                              <w:jc w:val="center"/>
                              <w:rPr>
                                <w:rFonts w:ascii="Open Sans" w:hAnsi="Open Sans" w:cs="Open Sans"/>
                                <w:sz w:val="16"/>
                                <w:szCs w:val="16"/>
                              </w:rPr>
                            </w:pPr>
                          </w:p>
                        </w:tc>
                      </w:tr>
                      <w:tr w:rsidR="00471C5F" w:rsidRPr="0014433C" w14:paraId="3A584EB6" w14:textId="77777777" w:rsidTr="003462C2">
                        <w:tc>
                          <w:tcPr>
                            <w:tcW w:w="4390" w:type="dxa"/>
                          </w:tcPr>
                          <w:p w14:paraId="64A878D6" w14:textId="77777777" w:rsidR="00471C5F" w:rsidRPr="0014433C" w:rsidRDefault="00471C5F">
                            <w:pPr>
                              <w:rPr>
                                <w:rFonts w:ascii="Open Sans" w:hAnsi="Open Sans" w:cs="Open Sans"/>
                                <w:sz w:val="16"/>
                                <w:szCs w:val="16"/>
                              </w:rPr>
                            </w:pPr>
                            <w:r>
                              <w:rPr>
                                <w:rFonts w:ascii="Open Sans" w:hAnsi="Open Sans" w:cs="Open Sans"/>
                                <w:sz w:val="16"/>
                                <w:szCs w:val="16"/>
                              </w:rPr>
                              <w:t>BNP Fastlands-Norge</w:t>
                            </w:r>
                          </w:p>
                        </w:tc>
                        <w:tc>
                          <w:tcPr>
                            <w:tcW w:w="1559" w:type="dxa"/>
                          </w:tcPr>
                          <w:p w14:paraId="2E309EA2"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tcPr>
                          <w:p w14:paraId="1A426E1E"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c>
                          <w:tcPr>
                            <w:tcW w:w="1482" w:type="dxa"/>
                          </w:tcPr>
                          <w:p w14:paraId="0187306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-0,4</w:t>
                            </w:r>
                          </w:p>
                        </w:tc>
                      </w:tr>
                      <w:tr w:rsidR="00471C5F" w:rsidRPr="0014433C" w14:paraId="06FC392D" w14:textId="77777777" w:rsidTr="00E56B2E">
                        <w:tc>
                          <w:tcPr>
                            <w:tcW w:w="4390" w:type="dxa"/>
                            <w:shd w:val="clear" w:color="auto" w:fill="D9D9D9"/>
                          </w:tcPr>
                          <w:p w14:paraId="68D0628C" w14:textId="77777777" w:rsidR="00471C5F" w:rsidRPr="0014433C" w:rsidRDefault="00471C5F">
                            <w:pPr>
                              <w:rPr>
                                <w:rFonts w:ascii="Open Sans" w:hAnsi="Open Sans" w:cs="Open Sans"/>
                                <w:sz w:val="16"/>
                                <w:szCs w:val="16"/>
                                <w:vertAlign w:val="superscript"/>
                              </w:rPr>
                            </w:pPr>
                            <w:r>
                              <w:rPr>
                                <w:rFonts w:ascii="Open Sans" w:hAnsi="Open Sans" w:cs="Open Sans"/>
                                <w:sz w:val="16"/>
                                <w:szCs w:val="16"/>
                              </w:rPr>
                              <w:t>Sysselsetting (NR)</w:t>
                            </w:r>
                          </w:p>
                        </w:tc>
                        <w:tc>
                          <w:tcPr>
                            <w:tcW w:w="1559" w:type="dxa"/>
                            <w:shd w:val="clear" w:color="auto" w:fill="D9D9D9"/>
                          </w:tcPr>
                          <w:p w14:paraId="1D6196A3"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-0,0</w:t>
                            </w:r>
                          </w:p>
                        </w:tc>
                        <w:tc>
                          <w:tcPr>
                            <w:tcW w:w="1417" w:type="dxa"/>
                            <w:shd w:val="clear" w:color="auto" w:fill="D9D9D9"/>
                          </w:tcPr>
                          <w:p w14:paraId="43DCB5C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05361625" w14:textId="77777777" w:rsidR="00471C5F" w:rsidRPr="0014433C" w:rsidRDefault="00471C5F" w:rsidP="003462C2">
                            <w:pPr>
                              <w:jc w:val="center"/>
                              <w:rPr>
                                <w:rFonts w:ascii="Open Sans" w:hAnsi="Open Sans" w:cs="Open Sans"/>
                                <w:sz w:val="16"/>
                                <w:szCs w:val="16"/>
                              </w:rPr>
                            </w:pPr>
                            <w:r>
                              <w:rPr>
                                <w:rFonts w:ascii="Open Sans" w:hAnsi="Open Sans" w:cs="Open Sans"/>
                                <w:sz w:val="16"/>
                                <w:szCs w:val="16"/>
                              </w:rPr>
                              <w:t>-0,2</w:t>
                            </w:r>
                          </w:p>
                        </w:tc>
                      </w:tr>
                      <w:tr w:rsidR="00471C5F" w:rsidRPr="0014433C" w14:paraId="005DDD3F" w14:textId="77777777" w:rsidTr="003462C2">
                        <w:tc>
                          <w:tcPr>
                            <w:tcW w:w="4390" w:type="dxa"/>
                            <w:tcBorders>
                              <w:bottom w:val="single" w:sz="4" w:space="0" w:color="auto"/>
                            </w:tcBorders>
                          </w:tcPr>
                          <w:p w14:paraId="152A1B83" w14:textId="77777777" w:rsidR="00471C5F" w:rsidRPr="006E44B2" w:rsidRDefault="00471C5F">
                            <w:pPr>
                              <w:rPr>
                                <w:rFonts w:ascii="Open Sans" w:hAnsi="Open Sans" w:cs="Open Sans"/>
                                <w:sz w:val="16"/>
                                <w:szCs w:val="16"/>
                                <w:lang w:val="en-US"/>
                              </w:rPr>
                            </w:pPr>
                            <w:proofErr w:type="spellStart"/>
                            <w:r>
                              <w:rPr>
                                <w:rFonts w:ascii="Open Sans" w:hAnsi="Open Sans" w:cs="Open Sans"/>
                                <w:sz w:val="16"/>
                                <w:szCs w:val="16"/>
                                <w:lang w:val="en-US"/>
                              </w:rPr>
                              <w:t>Arbeidsledighet</w:t>
                            </w:r>
                            <w:proofErr w:type="spellEnd"/>
                            <w:r>
                              <w:rPr>
                                <w:rFonts w:ascii="Open Sans" w:hAnsi="Open Sans" w:cs="Open Sans"/>
                                <w:sz w:val="16"/>
                                <w:szCs w:val="16"/>
                                <w:lang w:val="en-US"/>
                              </w:rPr>
                              <w:t xml:space="preserve"> (AKU)</w:t>
                            </w:r>
                            <w:r w:rsidRPr="006E44B2">
                              <w:rPr>
                                <w:rFonts w:ascii="Open Sans" w:hAnsi="Open Sans" w:cs="Open Sans"/>
                                <w:sz w:val="16"/>
                                <w:szCs w:val="16"/>
                                <w:lang w:val="en-US"/>
                              </w:rPr>
                              <w:t xml:space="preserve"> </w:t>
                            </w:r>
                          </w:p>
                        </w:tc>
                        <w:tc>
                          <w:tcPr>
                            <w:tcW w:w="1559" w:type="dxa"/>
                            <w:tcBorders>
                              <w:bottom w:val="single" w:sz="4" w:space="0" w:color="auto"/>
                            </w:tcBorders>
                          </w:tcPr>
                          <w:p w14:paraId="0B6E31DB"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+0,0</w:t>
                            </w:r>
                          </w:p>
                        </w:tc>
                        <w:tc>
                          <w:tcPr>
                            <w:tcW w:w="1417" w:type="dxa"/>
                            <w:tcBorders>
                              <w:bottom w:val="single" w:sz="4" w:space="0" w:color="auto"/>
                            </w:tcBorders>
                          </w:tcPr>
                          <w:p w14:paraId="1D7B5A0E"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+0,0</w:t>
                            </w:r>
                          </w:p>
                        </w:tc>
                        <w:tc>
                          <w:tcPr>
                            <w:tcW w:w="1482" w:type="dxa"/>
                            <w:tcBorders>
                              <w:bottom w:val="single" w:sz="4" w:space="0" w:color="auto"/>
                            </w:tcBorders>
                          </w:tcPr>
                          <w:p w14:paraId="203A871B" w14:textId="77777777" w:rsidR="00471C5F" w:rsidRPr="0014433C" w:rsidRDefault="00471C5F" w:rsidP="003462C2">
                            <w:pPr>
                              <w:jc w:val="center"/>
                              <w:rPr>
                                <w:rFonts w:ascii="Open Sans" w:hAnsi="Open Sans" w:cs="Open Sans"/>
                                <w:sz w:val="16"/>
                                <w:szCs w:val="16"/>
                                <w:lang w:val="en-GB"/>
                              </w:rPr>
                            </w:pPr>
                            <w:r>
                              <w:rPr>
                                <w:rFonts w:ascii="Open Sans" w:hAnsi="Open Sans" w:cs="Open Sans"/>
                                <w:sz w:val="16"/>
                                <w:szCs w:val="16"/>
                                <w:lang w:val="en-GB"/>
                              </w:rPr>
                              <w:t>+0,1</w:t>
                            </w:r>
                          </w:p>
                        </w:tc>
                      </w:tr>
                    </w:tbl>
                    <w:p w14:paraId="2BFD6379" w14:textId="77777777" w:rsidR="00471C5F" w:rsidRPr="0014433C" w:rsidRDefault="00471C5F" w:rsidP="00471C5F">
                      <w:pPr>
                        <w:adjustRightInd w:val="0"/>
                        <w:snapToGrid w:val="0"/>
                        <w:spacing w:before="40"/>
                        <w:rPr>
                          <w:sz w:val="16"/>
                          <w:szCs w:val="16"/>
                        </w:rPr>
                      </w:pPr>
                      <w:r w:rsidRPr="0014433C">
                        <w:rPr>
                          <w:sz w:val="16"/>
                          <w:szCs w:val="16"/>
                          <w:vertAlign w:val="superscript"/>
                        </w:rPr>
                        <w:t xml:space="preserve">1 </w:t>
                      </w:r>
                      <w:r>
                        <w:rPr>
                          <w:sz w:val="16"/>
                          <w:szCs w:val="16"/>
                        </w:rPr>
                        <w:t>Negativt fortegn betyr kronestyrking.</w:t>
                      </w:r>
                    </w:p>
                    <w:p w14:paraId="32DDEB88" w14:textId="77777777" w:rsidR="00471C5F" w:rsidRDefault="00471C5F" w:rsidP="00471C5F">
                      <w:pPr>
                        <w:rPr>
                          <w:sz w:val="14"/>
                          <w:szCs w:val="14"/>
                        </w:rPr>
                      </w:pPr>
                    </w:p>
                    <w:p w14:paraId="06A188B7" w14:textId="77777777" w:rsidR="00471C5F" w:rsidRPr="0014433C" w:rsidRDefault="00471C5F" w:rsidP="00471C5F">
                      <w:pPr>
                        <w:rPr>
                          <w:rFonts w:ascii="Open Sans" w:hAnsi="Open Sans" w:cs="Open Sans"/>
                          <w:sz w:val="18"/>
                          <w:szCs w:val="18"/>
                        </w:rPr>
                      </w:pPr>
                      <w:r w:rsidRPr="0014433C">
                        <w:rPr>
                          <w:rFonts w:ascii="Open Sans" w:hAnsi="Open Sans" w:cs="Open Sans"/>
                          <w:sz w:val="18"/>
                          <w:szCs w:val="18"/>
                        </w:rPr>
                        <w:t xml:space="preserve">Alt i alt vil </w:t>
                      </w:r>
                      <w:r>
                        <w:rPr>
                          <w:rFonts w:ascii="Open Sans" w:hAnsi="Open Sans" w:cs="Open Sans"/>
                          <w:sz w:val="18"/>
                          <w:szCs w:val="18"/>
                        </w:rPr>
                        <w:t xml:space="preserve">krona, under den nye rentebanen, styrke seg 1,5 pst. mer i 2023 og 0,8 pst. mer i 2024 enn det den forrige rentebanen tilsa.  </w:t>
                      </w:r>
                      <w:r w:rsidRPr="0014433C">
                        <w:rPr>
                          <w:rFonts w:ascii="Open Sans" w:hAnsi="Open Sans" w:cs="Open Sans"/>
                          <w:sz w:val="18"/>
                          <w:szCs w:val="18"/>
                        </w:rPr>
                        <w:t>BNP Fastlands-Norg</w:t>
                      </w:r>
                      <w:r>
                        <w:rPr>
                          <w:rFonts w:ascii="Open Sans" w:hAnsi="Open Sans" w:cs="Open Sans"/>
                          <w:sz w:val="18"/>
                          <w:szCs w:val="18"/>
                        </w:rPr>
                        <w:t>e vil være</w:t>
                      </w:r>
                      <w:r w:rsidRPr="0014433C">
                        <w:rPr>
                          <w:rFonts w:ascii="Open Sans" w:hAnsi="Open Sans" w:cs="Open Sans"/>
                          <w:sz w:val="18"/>
                          <w:szCs w:val="18"/>
                        </w:rPr>
                        <w:t xml:space="preserve"> 0,</w:t>
                      </w:r>
                      <w:r>
                        <w:rPr>
                          <w:rFonts w:ascii="Open Sans" w:hAnsi="Open Sans" w:cs="Open Sans"/>
                          <w:sz w:val="18"/>
                          <w:szCs w:val="18"/>
                        </w:rPr>
                        <w:t>2</w:t>
                      </w:r>
                      <w:r w:rsidRPr="0014433C">
                        <w:rPr>
                          <w:rFonts w:ascii="Open Sans" w:hAnsi="Open Sans" w:cs="Open Sans"/>
                          <w:sz w:val="18"/>
                          <w:szCs w:val="18"/>
                        </w:rPr>
                        <w:t xml:space="preserve"> p</w:t>
                      </w:r>
                      <w:r>
                        <w:rPr>
                          <w:rFonts w:ascii="Open Sans" w:hAnsi="Open Sans" w:cs="Open Sans"/>
                          <w:sz w:val="18"/>
                          <w:szCs w:val="18"/>
                        </w:rPr>
                        <w:t>s</w:t>
                      </w:r>
                      <w:r w:rsidRPr="0014433C">
                        <w:rPr>
                          <w:rFonts w:ascii="Open Sans" w:hAnsi="Open Sans" w:cs="Open Sans"/>
                          <w:sz w:val="18"/>
                          <w:szCs w:val="18"/>
                        </w:rPr>
                        <w:t>t</w:t>
                      </w:r>
                      <w:r>
                        <w:rPr>
                          <w:rFonts w:ascii="Open Sans" w:hAnsi="Open Sans" w:cs="Open Sans"/>
                          <w:sz w:val="18"/>
                          <w:szCs w:val="18"/>
                        </w:rPr>
                        <w:t>.</w:t>
                      </w:r>
                      <w:r w:rsidRPr="0014433C">
                        <w:rPr>
                          <w:rFonts w:ascii="Open Sans" w:hAnsi="Open Sans" w:cs="Open Sans"/>
                          <w:sz w:val="18"/>
                          <w:szCs w:val="18"/>
                        </w:rPr>
                        <w:t xml:space="preserve"> lavere i 202</w:t>
                      </w:r>
                      <w:r>
                        <w:rPr>
                          <w:rFonts w:ascii="Open Sans" w:hAnsi="Open Sans" w:cs="Open Sans"/>
                          <w:sz w:val="18"/>
                          <w:szCs w:val="18"/>
                        </w:rPr>
                        <w:t>3</w:t>
                      </w:r>
                      <w:r w:rsidRPr="0014433C">
                        <w:rPr>
                          <w:rFonts w:ascii="Open Sans" w:hAnsi="Open Sans" w:cs="Open Sans"/>
                          <w:sz w:val="18"/>
                          <w:szCs w:val="18"/>
                        </w:rPr>
                        <w:t xml:space="preserve"> og 0,</w:t>
                      </w:r>
                      <w:r>
                        <w:rPr>
                          <w:rFonts w:ascii="Open Sans" w:hAnsi="Open Sans" w:cs="Open Sans"/>
                          <w:sz w:val="18"/>
                          <w:szCs w:val="18"/>
                        </w:rPr>
                        <w:t>4</w:t>
                      </w:r>
                      <w:r w:rsidRPr="0014433C">
                        <w:rPr>
                          <w:rFonts w:ascii="Open Sans" w:hAnsi="Open Sans" w:cs="Open Sans"/>
                          <w:sz w:val="18"/>
                          <w:szCs w:val="18"/>
                        </w:rPr>
                        <w:t xml:space="preserve"> pst</w:t>
                      </w:r>
                      <w:r>
                        <w:rPr>
                          <w:rFonts w:ascii="Open Sans" w:hAnsi="Open Sans" w:cs="Open Sans"/>
                          <w:sz w:val="18"/>
                          <w:szCs w:val="18"/>
                        </w:rPr>
                        <w:t>.</w:t>
                      </w:r>
                      <w:r w:rsidRPr="0014433C">
                        <w:rPr>
                          <w:rFonts w:ascii="Open Sans" w:hAnsi="Open Sans" w:cs="Open Sans"/>
                          <w:sz w:val="18"/>
                          <w:szCs w:val="18"/>
                        </w:rPr>
                        <w:t xml:space="preserve"> lavere i 202</w:t>
                      </w:r>
                      <w:r>
                        <w:rPr>
                          <w:rFonts w:ascii="Open Sans" w:hAnsi="Open Sans" w:cs="Open Sans"/>
                          <w:sz w:val="18"/>
                          <w:szCs w:val="18"/>
                        </w:rPr>
                        <w:t>4</w:t>
                      </w:r>
                      <w:r w:rsidRPr="0014433C">
                        <w:rPr>
                          <w:rFonts w:ascii="Open Sans" w:hAnsi="Open Sans" w:cs="Open Sans"/>
                          <w:sz w:val="18"/>
                          <w:szCs w:val="18"/>
                        </w:rPr>
                        <w:t>.</w:t>
                      </w:r>
                      <w:r>
                        <w:rPr>
                          <w:rFonts w:ascii="Open Sans" w:hAnsi="Open Sans" w:cs="Open Sans"/>
                          <w:sz w:val="18"/>
                          <w:szCs w:val="18"/>
                        </w:rPr>
                        <w:t xml:space="preserve"> Sysselsettingen vil vokse 0,1 pst. mindre i 2023 og 0,2 pst. mindre i 2024. </w:t>
                      </w:r>
                    </w:p>
                  </w:txbxContent>
                </v:textbox>
                <w10:wrap anchorx="margin"/>
              </v:shape>
            </w:pict>
          </mc:Fallback>
        </mc:AlternateContent>
      </w:r>
      <w:r>
        <w:rPr>
          <w:rFonts w:ascii="Open Sans" w:eastAsia="Calibri" w:hAnsi="Open Sans" w:cs="Open Sans"/>
          <w:sz w:val="22"/>
        </w:rPr>
        <w:br w:type="page"/>
      </w:r>
    </w:p>
    <w:p w14:paraId="625B4C79" w14:textId="77777777" w:rsidR="00E56B2E" w:rsidRPr="00E56B2E" w:rsidRDefault="00E56B2E" w:rsidP="00E56B2E">
      <w:pPr>
        <w:spacing w:after="0" w:line="240" w:lineRule="auto"/>
        <w:jc w:val="both"/>
        <w:rPr>
          <w:rFonts w:ascii="Open Sans" w:eastAsia="Calibri" w:hAnsi="Open Sans" w:cs="Open Sans"/>
          <w:sz w:val="16"/>
          <w:szCs w:val="16"/>
        </w:rPr>
      </w:pPr>
    </w:p>
    <w:p w14:paraId="6391ABBA" w14:textId="77777777" w:rsidR="00E56B2E" w:rsidRPr="00E56B2E" w:rsidRDefault="00E56B2E" w:rsidP="00E56B2E">
      <w:pPr>
        <w:spacing w:after="0" w:line="240" w:lineRule="auto"/>
        <w:jc w:val="center"/>
        <w:rPr>
          <w:rFonts w:ascii="Open Sans" w:eastAsia="Calibri" w:hAnsi="Open Sans" w:cs="Open Sans"/>
          <w:sz w:val="22"/>
        </w:rPr>
      </w:pPr>
      <w:r w:rsidRPr="00E56B2E">
        <w:rPr>
          <w:rFonts w:ascii="Open Sans" w:eastAsia="Calibri" w:hAnsi="Open Sans" w:cs="Open Sans"/>
          <w:noProof/>
          <w:sz w:val="22"/>
        </w:rPr>
        <w:drawing>
          <wp:inline distT="0" distB="0" distL="0" distR="0" wp14:anchorId="7FB3F515" wp14:editId="35CE331F">
            <wp:extent cx="5686715" cy="3088257"/>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594" cy="3103940"/>
                    </a:xfrm>
                    <a:prstGeom prst="rect">
                      <a:avLst/>
                    </a:prstGeom>
                    <a:noFill/>
                  </pic:spPr>
                </pic:pic>
              </a:graphicData>
            </a:graphic>
          </wp:inline>
        </w:drawing>
      </w:r>
    </w:p>
    <w:p w14:paraId="6675DC61" w14:textId="77777777" w:rsidR="00E56B2E" w:rsidRPr="00E56B2E" w:rsidRDefault="00E56B2E" w:rsidP="00E56B2E">
      <w:pPr>
        <w:spacing w:after="0" w:line="240" w:lineRule="auto"/>
        <w:jc w:val="both"/>
        <w:rPr>
          <w:rFonts w:ascii="Open Sans" w:eastAsia="Calibri" w:hAnsi="Open Sans" w:cs="Open Sans"/>
          <w:sz w:val="22"/>
        </w:rPr>
      </w:pPr>
    </w:p>
    <w:p w14:paraId="52945EF6" w14:textId="23075500"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 xml:space="preserve">Årsveksten i konsumprisindeksen (KPI) endte på 3,5 </w:t>
      </w:r>
      <w:r w:rsidR="00793233" w:rsidRPr="00E56B2E">
        <w:rPr>
          <w:rFonts w:ascii="Open Sans" w:eastAsia="Calibri" w:hAnsi="Open Sans" w:cs="Open Sans"/>
          <w:sz w:val="22"/>
        </w:rPr>
        <w:t>p</w:t>
      </w:r>
      <w:r w:rsidR="00793233">
        <w:rPr>
          <w:rFonts w:ascii="Open Sans" w:eastAsia="Calibri" w:hAnsi="Open Sans" w:cs="Open Sans"/>
          <w:sz w:val="22"/>
        </w:rPr>
        <w:t>st.</w:t>
      </w:r>
      <w:r w:rsidR="00793233" w:rsidRPr="00E56B2E">
        <w:rPr>
          <w:rFonts w:ascii="Open Sans" w:eastAsia="Calibri" w:hAnsi="Open Sans" w:cs="Open Sans"/>
          <w:sz w:val="22"/>
        </w:rPr>
        <w:t xml:space="preserve"> </w:t>
      </w:r>
      <w:r w:rsidRPr="00E56B2E">
        <w:rPr>
          <w:rFonts w:ascii="Open Sans" w:eastAsia="Calibri" w:hAnsi="Open Sans" w:cs="Open Sans"/>
          <w:sz w:val="22"/>
        </w:rPr>
        <w:t>i 2021. Hoveddrivkraften bak den høye konsumprisstigningen var elektrisitetsprisene, som var rekordhøye i 2021</w:t>
      </w:r>
      <w:r w:rsidR="00793233">
        <w:rPr>
          <w:rFonts w:ascii="Open Sans" w:eastAsia="Calibri" w:hAnsi="Open Sans" w:cs="Open Sans"/>
          <w:sz w:val="22"/>
        </w:rPr>
        <w:t>,</w:t>
      </w:r>
      <w:r w:rsidRPr="00E56B2E">
        <w:rPr>
          <w:rFonts w:ascii="Open Sans" w:eastAsia="Calibri" w:hAnsi="Open Sans" w:cs="Open Sans"/>
          <w:sz w:val="22"/>
        </w:rPr>
        <w:t xml:space="preserve"> og drivstoffprisene, som også økte betydelig mot slutten av fjoråret. Elektrisitet inkludert nettleie steg med 71 </w:t>
      </w:r>
      <w:r w:rsidR="00793233" w:rsidRPr="00E56B2E">
        <w:rPr>
          <w:rFonts w:ascii="Open Sans" w:eastAsia="Calibri" w:hAnsi="Open Sans" w:cs="Open Sans"/>
          <w:sz w:val="22"/>
        </w:rPr>
        <w:t>p</w:t>
      </w:r>
      <w:r w:rsidR="00793233">
        <w:rPr>
          <w:rFonts w:ascii="Open Sans" w:eastAsia="Calibri" w:hAnsi="Open Sans" w:cs="Open Sans"/>
          <w:sz w:val="22"/>
        </w:rPr>
        <w:t>st.</w:t>
      </w:r>
      <w:r w:rsidR="00793233" w:rsidRPr="00E56B2E">
        <w:rPr>
          <w:rFonts w:ascii="Open Sans" w:eastAsia="Calibri" w:hAnsi="Open Sans" w:cs="Open Sans"/>
          <w:sz w:val="22"/>
        </w:rPr>
        <w:t xml:space="preserve"> </w:t>
      </w:r>
      <w:r w:rsidRPr="00E56B2E">
        <w:rPr>
          <w:rFonts w:ascii="Open Sans" w:eastAsia="Calibri" w:hAnsi="Open Sans" w:cs="Open Sans"/>
          <w:sz w:val="22"/>
        </w:rPr>
        <w:t xml:space="preserve">og drivstoffpriser steg med 12 </w:t>
      </w:r>
      <w:r w:rsidR="00793233" w:rsidRPr="00E56B2E">
        <w:rPr>
          <w:rFonts w:ascii="Open Sans" w:eastAsia="Calibri" w:hAnsi="Open Sans" w:cs="Open Sans"/>
          <w:sz w:val="22"/>
        </w:rPr>
        <w:t>p</w:t>
      </w:r>
      <w:r w:rsidR="00793233">
        <w:rPr>
          <w:rFonts w:ascii="Open Sans" w:eastAsia="Calibri" w:hAnsi="Open Sans" w:cs="Open Sans"/>
          <w:sz w:val="22"/>
        </w:rPr>
        <w:t xml:space="preserve">st. </w:t>
      </w:r>
      <w:r w:rsidRPr="00E56B2E">
        <w:rPr>
          <w:rFonts w:ascii="Open Sans" w:eastAsia="Calibri" w:hAnsi="Open Sans" w:cs="Open Sans"/>
          <w:sz w:val="22"/>
        </w:rPr>
        <w:t>i 2021. Energivarepriser ga store utslag i flere store konsumgrupper som veier tungt i konsumprisindeksen. Disse prisutslagene er i og for seg dramatiske, men sammenliknet med andre land er utslagene i Norge likevel relativt små. Strømstøtten bidrar betydelig til dette. Konsumprisindeksen utenom energivarer (KPI-JE) steg med 1,2 p</w:t>
      </w:r>
      <w:r w:rsidR="007448C8">
        <w:rPr>
          <w:rFonts w:ascii="Open Sans" w:eastAsia="Calibri" w:hAnsi="Open Sans" w:cs="Open Sans"/>
          <w:sz w:val="22"/>
        </w:rPr>
        <w:t>st.</w:t>
      </w:r>
      <w:r w:rsidRPr="00E56B2E">
        <w:rPr>
          <w:rFonts w:ascii="Open Sans" w:eastAsia="Calibri" w:hAnsi="Open Sans" w:cs="Open Sans"/>
          <w:sz w:val="22"/>
        </w:rPr>
        <w:t xml:space="preserve"> fra 2020 til 2021, slik at bidraget til økt KPI-vekst fra energivarer ble på hele 2,3 p</w:t>
      </w:r>
      <w:r w:rsidR="007448C8">
        <w:rPr>
          <w:rFonts w:ascii="Open Sans" w:eastAsia="Calibri" w:hAnsi="Open Sans" w:cs="Open Sans"/>
          <w:sz w:val="22"/>
        </w:rPr>
        <w:t>st.-</w:t>
      </w:r>
      <w:r w:rsidRPr="00E56B2E">
        <w:rPr>
          <w:rFonts w:ascii="Open Sans" w:eastAsia="Calibri" w:hAnsi="Open Sans" w:cs="Open Sans"/>
          <w:sz w:val="22"/>
        </w:rPr>
        <w:t>poeng. Den underliggende prisstigningen målt med konsumprisindeksen justert for avgiftsendringer og uten energivarer (KPI-JAE) var på 1,7 p</w:t>
      </w:r>
      <w:r w:rsidR="007448C8">
        <w:rPr>
          <w:rFonts w:ascii="Open Sans" w:eastAsia="Calibri" w:hAnsi="Open Sans" w:cs="Open Sans"/>
          <w:sz w:val="22"/>
        </w:rPr>
        <w:t>st.</w:t>
      </w:r>
      <w:r w:rsidRPr="00E56B2E">
        <w:rPr>
          <w:rFonts w:ascii="Open Sans" w:eastAsia="Calibri" w:hAnsi="Open Sans" w:cs="Open Sans"/>
          <w:sz w:val="22"/>
        </w:rPr>
        <w:t xml:space="preserve"> i 2021.</w:t>
      </w:r>
    </w:p>
    <w:p w14:paraId="210BE886" w14:textId="33C804C2" w:rsidR="00E56B2E" w:rsidRPr="00E56B2E" w:rsidRDefault="00640846" w:rsidP="00E56B2E">
      <w:pPr>
        <w:spacing w:after="0" w:line="240" w:lineRule="auto"/>
        <w:jc w:val="both"/>
        <w:rPr>
          <w:rFonts w:ascii="Open Sans" w:eastAsia="Calibri" w:hAnsi="Open Sans" w:cs="Open Sans"/>
          <w:sz w:val="22"/>
        </w:rPr>
      </w:pPr>
      <w:r w:rsidRPr="00E56B2E">
        <w:rPr>
          <w:rFonts w:ascii="Open Sans" w:eastAsia="Calibri" w:hAnsi="Open Sans" w:cs="Open Sans"/>
          <w:noProof/>
          <w:sz w:val="22"/>
        </w:rPr>
        <w:drawing>
          <wp:inline distT="0" distB="0" distL="0" distR="0" wp14:anchorId="1B6B4678" wp14:editId="10C05138">
            <wp:extent cx="5400040" cy="2739713"/>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739713"/>
                    </a:xfrm>
                    <a:prstGeom prst="rect">
                      <a:avLst/>
                    </a:prstGeom>
                    <a:noFill/>
                  </pic:spPr>
                </pic:pic>
              </a:graphicData>
            </a:graphic>
          </wp:inline>
        </w:drawing>
      </w:r>
    </w:p>
    <w:p w14:paraId="60E41865" w14:textId="38AE6D9D" w:rsidR="00E56B2E" w:rsidRPr="00E56B2E" w:rsidRDefault="00E56B2E" w:rsidP="00E56B2E">
      <w:pPr>
        <w:spacing w:after="0" w:line="240" w:lineRule="auto"/>
        <w:jc w:val="center"/>
        <w:rPr>
          <w:rFonts w:ascii="Open Sans" w:eastAsia="Calibri" w:hAnsi="Open Sans" w:cs="Open Sans"/>
          <w:sz w:val="22"/>
        </w:rPr>
      </w:pPr>
    </w:p>
    <w:p w14:paraId="2988D1FB" w14:textId="77777777" w:rsidR="00E56B2E" w:rsidRPr="00E56B2E" w:rsidRDefault="00E56B2E" w:rsidP="00E56B2E">
      <w:pPr>
        <w:spacing w:after="0" w:line="240" w:lineRule="auto"/>
        <w:jc w:val="center"/>
        <w:rPr>
          <w:rFonts w:ascii="Open Sans" w:eastAsia="Calibri" w:hAnsi="Open Sans" w:cs="Open Sans"/>
          <w:sz w:val="22"/>
        </w:rPr>
      </w:pPr>
    </w:p>
    <w:p w14:paraId="00EC4442" w14:textId="6096F6E7"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Ytterligere energipris</w:t>
      </w:r>
      <w:r w:rsidR="006A2D8A">
        <w:rPr>
          <w:rFonts w:ascii="Open Sans" w:eastAsia="Calibri" w:hAnsi="Open Sans" w:cs="Open Sans"/>
          <w:sz w:val="22"/>
        </w:rPr>
        <w:t>økning</w:t>
      </w:r>
      <w:r w:rsidRPr="00E56B2E">
        <w:rPr>
          <w:rFonts w:ascii="Open Sans" w:eastAsia="Calibri" w:hAnsi="Open Sans" w:cs="Open Sans"/>
          <w:sz w:val="22"/>
        </w:rPr>
        <w:t xml:space="preserve">er som følge av krigen i Ukraina gir kraftige inflasjonsimpulser også i inneværende år. Flaskehalsene i produksjonen av varer og tjenester som preger internasjonal økonomi trekker i samme retning. Styrkingen av krona og strømstøtteordningene som </w:t>
      </w:r>
      <w:r w:rsidR="005E096E">
        <w:rPr>
          <w:rFonts w:ascii="Open Sans" w:eastAsia="Calibri" w:hAnsi="Open Sans" w:cs="Open Sans"/>
          <w:sz w:val="22"/>
        </w:rPr>
        <w:t>R</w:t>
      </w:r>
      <w:r w:rsidRPr="00E56B2E">
        <w:rPr>
          <w:rFonts w:ascii="Open Sans" w:eastAsia="Calibri" w:hAnsi="Open Sans" w:cs="Open Sans"/>
          <w:sz w:val="22"/>
        </w:rPr>
        <w:t xml:space="preserve">egjeringen har innført reduserer derimot det økte prispresset. Veksten i konsumprisindeksen (KPI) anslås i år til 3,3 </w:t>
      </w:r>
      <w:r w:rsidR="005E096E" w:rsidRPr="00E56B2E">
        <w:rPr>
          <w:rFonts w:ascii="Open Sans" w:eastAsia="Calibri" w:hAnsi="Open Sans" w:cs="Open Sans"/>
          <w:sz w:val="22"/>
        </w:rPr>
        <w:t>p</w:t>
      </w:r>
      <w:r w:rsidR="005E096E">
        <w:rPr>
          <w:rFonts w:ascii="Open Sans" w:eastAsia="Calibri" w:hAnsi="Open Sans" w:cs="Open Sans"/>
          <w:sz w:val="22"/>
        </w:rPr>
        <w:t>st</w:t>
      </w:r>
      <w:r w:rsidRPr="00E56B2E">
        <w:rPr>
          <w:rFonts w:ascii="Open Sans" w:eastAsia="Calibri" w:hAnsi="Open Sans" w:cs="Open Sans"/>
          <w:sz w:val="22"/>
        </w:rPr>
        <w:t xml:space="preserve">. Uten strømstøtteordningene ville veksten blitt 4,5 </w:t>
      </w:r>
      <w:r w:rsidR="005E096E" w:rsidRPr="00E56B2E">
        <w:rPr>
          <w:rFonts w:ascii="Open Sans" w:eastAsia="Calibri" w:hAnsi="Open Sans" w:cs="Open Sans"/>
          <w:sz w:val="22"/>
        </w:rPr>
        <w:t>p</w:t>
      </w:r>
      <w:r w:rsidR="005E096E">
        <w:rPr>
          <w:rFonts w:ascii="Open Sans" w:eastAsia="Calibri" w:hAnsi="Open Sans" w:cs="Open Sans"/>
          <w:sz w:val="22"/>
        </w:rPr>
        <w:t>st</w:t>
      </w:r>
      <w:r w:rsidRPr="00E56B2E">
        <w:rPr>
          <w:rFonts w:ascii="Open Sans" w:eastAsia="Calibri" w:hAnsi="Open Sans" w:cs="Open Sans"/>
          <w:sz w:val="22"/>
        </w:rPr>
        <w:t xml:space="preserve">. Antatte lavere elektrisitetspriser bidrar til at KPI-veksten faller til 1,7 </w:t>
      </w:r>
      <w:r w:rsidR="005E096E" w:rsidRPr="00E56B2E">
        <w:rPr>
          <w:rFonts w:ascii="Open Sans" w:eastAsia="Calibri" w:hAnsi="Open Sans" w:cs="Open Sans"/>
          <w:sz w:val="22"/>
        </w:rPr>
        <w:t>p</w:t>
      </w:r>
      <w:r w:rsidR="005E096E">
        <w:rPr>
          <w:rFonts w:ascii="Open Sans" w:eastAsia="Calibri" w:hAnsi="Open Sans" w:cs="Open Sans"/>
          <w:sz w:val="22"/>
        </w:rPr>
        <w:t>st.</w:t>
      </w:r>
      <w:r w:rsidR="005E096E" w:rsidRPr="00E56B2E">
        <w:rPr>
          <w:rFonts w:ascii="Open Sans" w:eastAsia="Calibri" w:hAnsi="Open Sans" w:cs="Open Sans"/>
          <w:sz w:val="22"/>
        </w:rPr>
        <w:t xml:space="preserve"> </w:t>
      </w:r>
      <w:r w:rsidRPr="00E56B2E">
        <w:rPr>
          <w:rFonts w:ascii="Open Sans" w:eastAsia="Calibri" w:hAnsi="Open Sans" w:cs="Open Sans"/>
          <w:sz w:val="22"/>
        </w:rPr>
        <w:t xml:space="preserve">i 2023. </w:t>
      </w:r>
    </w:p>
    <w:p w14:paraId="030342B1" w14:textId="77777777" w:rsidR="00E56B2E" w:rsidRPr="00E56B2E" w:rsidRDefault="00E56B2E" w:rsidP="00E56B2E">
      <w:pPr>
        <w:spacing w:after="0" w:line="240" w:lineRule="auto"/>
        <w:jc w:val="both"/>
        <w:rPr>
          <w:rFonts w:ascii="Open Sans" w:eastAsia="Calibri" w:hAnsi="Open Sans" w:cs="Open Sans"/>
          <w:sz w:val="22"/>
        </w:rPr>
      </w:pPr>
    </w:p>
    <w:p w14:paraId="2F2221F2" w14:textId="0C92E3C5"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 xml:space="preserve">Det er utsikter til høyere inflasjon ute som følge av høyere energipriser og matpriser. Dette vil velte over til Norge gjennom høyere priser på importerte varer.  Det er derfor utsikter til høyere underliggende inflasjon i Norge, og den underliggende prisstigningen målt med konsumprisindeksen justert for avgiftsendringer og uten energivarer (KPI-JAE) anslås til 2,5 </w:t>
      </w:r>
      <w:r w:rsidR="005E096E" w:rsidRPr="00E56B2E">
        <w:rPr>
          <w:rFonts w:ascii="Open Sans" w:eastAsia="Calibri" w:hAnsi="Open Sans" w:cs="Open Sans"/>
          <w:sz w:val="22"/>
        </w:rPr>
        <w:t>p</w:t>
      </w:r>
      <w:r w:rsidR="005E096E">
        <w:rPr>
          <w:rFonts w:ascii="Open Sans" w:eastAsia="Calibri" w:hAnsi="Open Sans" w:cs="Open Sans"/>
          <w:sz w:val="22"/>
        </w:rPr>
        <w:t>st.</w:t>
      </w:r>
      <w:r w:rsidR="005E096E" w:rsidRPr="00E56B2E">
        <w:rPr>
          <w:rFonts w:ascii="Open Sans" w:eastAsia="Calibri" w:hAnsi="Open Sans" w:cs="Open Sans"/>
          <w:sz w:val="22"/>
        </w:rPr>
        <w:t xml:space="preserve"> </w:t>
      </w:r>
      <w:r w:rsidRPr="00E56B2E">
        <w:rPr>
          <w:rFonts w:ascii="Open Sans" w:eastAsia="Calibri" w:hAnsi="Open Sans" w:cs="Open Sans"/>
          <w:sz w:val="22"/>
        </w:rPr>
        <w:t>både i 2022 og 2023.</w:t>
      </w:r>
    </w:p>
    <w:p w14:paraId="4B7D153E" w14:textId="77777777" w:rsidR="00E56B2E" w:rsidRPr="00E56B2E" w:rsidRDefault="00E56B2E" w:rsidP="00E56B2E">
      <w:pPr>
        <w:spacing w:after="0" w:line="240" w:lineRule="auto"/>
        <w:jc w:val="both"/>
        <w:rPr>
          <w:rFonts w:ascii="Open Sans" w:eastAsia="Calibri" w:hAnsi="Open Sans" w:cs="Open Sans"/>
          <w:sz w:val="32"/>
          <w:szCs w:val="32"/>
        </w:rPr>
      </w:pPr>
      <w:r w:rsidRPr="00E56B2E">
        <w:rPr>
          <w:rFonts w:ascii="Open Sans" w:eastAsia="Calibri" w:hAnsi="Open Sans" w:cs="Open Sans"/>
          <w:sz w:val="22"/>
        </w:rPr>
        <w:t xml:space="preserve">  </w:t>
      </w:r>
    </w:p>
    <w:p w14:paraId="18A4D24A" w14:textId="77777777" w:rsidR="00E56B2E" w:rsidRPr="00E56B2E" w:rsidRDefault="00E56B2E" w:rsidP="00E56B2E">
      <w:pPr>
        <w:spacing w:after="0" w:line="240" w:lineRule="auto"/>
        <w:jc w:val="center"/>
        <w:rPr>
          <w:rFonts w:ascii="Times New Roman" w:eastAsia="Calibri" w:hAnsi="Times New Roman" w:cs="Times New Roman"/>
          <w:sz w:val="28"/>
          <w:szCs w:val="28"/>
        </w:rPr>
      </w:pPr>
      <w:r w:rsidRPr="00E56B2E">
        <w:rPr>
          <w:rFonts w:ascii="Times New Roman" w:eastAsia="Calibri" w:hAnsi="Times New Roman" w:cs="Times New Roman"/>
          <w:noProof/>
          <w:sz w:val="28"/>
          <w:szCs w:val="28"/>
        </w:rPr>
        <w:drawing>
          <wp:inline distT="0" distB="0" distL="0" distR="0" wp14:anchorId="7A4330E7" wp14:editId="7EB7FE4F">
            <wp:extent cx="5646887" cy="2848841"/>
            <wp:effectExtent l="0" t="0" r="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5686" cy="2853280"/>
                    </a:xfrm>
                    <a:prstGeom prst="rect">
                      <a:avLst/>
                    </a:prstGeom>
                    <a:noFill/>
                  </pic:spPr>
                </pic:pic>
              </a:graphicData>
            </a:graphic>
          </wp:inline>
        </w:drawing>
      </w:r>
    </w:p>
    <w:p w14:paraId="5AA31198" w14:textId="77777777" w:rsidR="00B973B7" w:rsidRDefault="00B973B7" w:rsidP="00E56B2E">
      <w:pPr>
        <w:spacing w:after="0" w:line="240" w:lineRule="auto"/>
        <w:jc w:val="both"/>
        <w:rPr>
          <w:rFonts w:ascii="Open Sans" w:eastAsia="Calibri" w:hAnsi="Open Sans" w:cs="Open Sans"/>
          <w:i/>
          <w:iCs/>
          <w:sz w:val="22"/>
        </w:rPr>
      </w:pPr>
    </w:p>
    <w:p w14:paraId="7D482972" w14:textId="77777777" w:rsidR="00B973B7" w:rsidRDefault="00B973B7" w:rsidP="00E56B2E">
      <w:pPr>
        <w:spacing w:after="0" w:line="240" w:lineRule="auto"/>
        <w:jc w:val="both"/>
        <w:rPr>
          <w:rFonts w:ascii="Open Sans" w:eastAsia="Calibri" w:hAnsi="Open Sans" w:cs="Open Sans"/>
          <w:i/>
          <w:iCs/>
          <w:sz w:val="22"/>
        </w:rPr>
      </w:pPr>
    </w:p>
    <w:p w14:paraId="06242C1D" w14:textId="3CE6CCB6" w:rsidR="00E56B2E" w:rsidRPr="00E56B2E" w:rsidRDefault="00E56B2E" w:rsidP="00E56B2E">
      <w:pPr>
        <w:spacing w:after="0" w:line="240" w:lineRule="auto"/>
        <w:jc w:val="both"/>
        <w:rPr>
          <w:rFonts w:ascii="Open Sans" w:eastAsia="Calibri" w:hAnsi="Open Sans" w:cs="Open Sans"/>
          <w:i/>
          <w:iCs/>
          <w:sz w:val="22"/>
        </w:rPr>
      </w:pPr>
      <w:r w:rsidRPr="00E56B2E">
        <w:rPr>
          <w:rFonts w:ascii="Open Sans" w:eastAsia="Calibri" w:hAnsi="Open Sans" w:cs="Open Sans"/>
          <w:i/>
          <w:iCs/>
          <w:sz w:val="22"/>
        </w:rPr>
        <w:t>LOs anslag om offentlig konsum og investering samt Norges Banks styringsrente, konsumprisvekst og kronekurs:</w:t>
      </w:r>
    </w:p>
    <w:tbl>
      <w:tblPr>
        <w:tblStyle w:val="Rutenettabell2uthevingsfarge21"/>
        <w:tblW w:w="0" w:type="auto"/>
        <w:tblLook w:val="04A0" w:firstRow="1" w:lastRow="0" w:firstColumn="1" w:lastColumn="0" w:noHBand="0" w:noVBand="1"/>
      </w:tblPr>
      <w:tblGrid>
        <w:gridCol w:w="3840"/>
        <w:gridCol w:w="1719"/>
        <w:gridCol w:w="1477"/>
        <w:gridCol w:w="1468"/>
      </w:tblGrid>
      <w:tr w:rsidR="00E56B2E" w:rsidRPr="00E56B2E" w14:paraId="64DF3784" w14:textId="77777777" w:rsidTr="00E56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F4B083"/>
            </w:tcBorders>
          </w:tcPr>
          <w:p w14:paraId="34BD1619" w14:textId="77777777" w:rsidR="00E56B2E" w:rsidRPr="00E56B2E" w:rsidRDefault="00E56B2E" w:rsidP="00E56B2E">
            <w:pPr>
              <w:spacing w:after="0" w:line="240" w:lineRule="auto"/>
              <w:rPr>
                <w:rFonts w:ascii="Open Sans" w:eastAsia="Calibri" w:hAnsi="Open Sans" w:cs="Open Sans"/>
                <w:szCs w:val="20"/>
              </w:rPr>
            </w:pPr>
          </w:p>
        </w:tc>
        <w:tc>
          <w:tcPr>
            <w:tcW w:w="1843" w:type="dxa"/>
            <w:tcBorders>
              <w:top w:val="single" w:sz="12" w:space="0" w:color="F4B083"/>
            </w:tcBorders>
          </w:tcPr>
          <w:p w14:paraId="55059473"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2021</w:t>
            </w:r>
          </w:p>
        </w:tc>
        <w:tc>
          <w:tcPr>
            <w:tcW w:w="1559" w:type="dxa"/>
            <w:tcBorders>
              <w:top w:val="single" w:sz="12" w:space="0" w:color="F4B083"/>
            </w:tcBorders>
          </w:tcPr>
          <w:p w14:paraId="521CD1AC"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2022*</w:t>
            </w:r>
          </w:p>
        </w:tc>
        <w:tc>
          <w:tcPr>
            <w:tcW w:w="1549" w:type="dxa"/>
            <w:tcBorders>
              <w:top w:val="single" w:sz="12" w:space="0" w:color="F4B083"/>
            </w:tcBorders>
          </w:tcPr>
          <w:p w14:paraId="36A4A1C8"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2023*</w:t>
            </w:r>
          </w:p>
        </w:tc>
      </w:tr>
      <w:tr w:rsidR="00E56B2E" w:rsidRPr="00E56B2E" w14:paraId="05F82F86" w14:textId="77777777" w:rsidTr="00E5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261B631"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Offentlig konsum (%-vekst)</w:t>
            </w:r>
          </w:p>
        </w:tc>
        <w:tc>
          <w:tcPr>
            <w:tcW w:w="1843" w:type="dxa"/>
          </w:tcPr>
          <w:p w14:paraId="59975D93"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3,9</w:t>
            </w:r>
          </w:p>
        </w:tc>
        <w:tc>
          <w:tcPr>
            <w:tcW w:w="1559" w:type="dxa"/>
          </w:tcPr>
          <w:p w14:paraId="1EEDC033"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1,0</w:t>
            </w:r>
          </w:p>
        </w:tc>
        <w:tc>
          <w:tcPr>
            <w:tcW w:w="1549" w:type="dxa"/>
          </w:tcPr>
          <w:p w14:paraId="21F3184E"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1,2</w:t>
            </w:r>
          </w:p>
        </w:tc>
      </w:tr>
      <w:tr w:rsidR="00E56B2E" w:rsidRPr="00E56B2E" w14:paraId="30E930F6" w14:textId="77777777" w:rsidTr="003462C2">
        <w:tc>
          <w:tcPr>
            <w:cnfStyle w:val="001000000000" w:firstRow="0" w:lastRow="0" w:firstColumn="1" w:lastColumn="0" w:oddVBand="0" w:evenVBand="0" w:oddHBand="0" w:evenHBand="0" w:firstRowFirstColumn="0" w:firstRowLastColumn="0" w:lastRowFirstColumn="0" w:lastRowLastColumn="0"/>
            <w:tcW w:w="4111" w:type="dxa"/>
          </w:tcPr>
          <w:p w14:paraId="1D43CA39"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Offentlig investering (%-vekst)</w:t>
            </w:r>
          </w:p>
        </w:tc>
        <w:tc>
          <w:tcPr>
            <w:tcW w:w="1843" w:type="dxa"/>
          </w:tcPr>
          <w:p w14:paraId="4CB1BC6E"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-3,1</w:t>
            </w:r>
          </w:p>
        </w:tc>
        <w:tc>
          <w:tcPr>
            <w:tcW w:w="1559" w:type="dxa"/>
          </w:tcPr>
          <w:p w14:paraId="5996ABFD"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2,0</w:t>
            </w:r>
          </w:p>
        </w:tc>
        <w:tc>
          <w:tcPr>
            <w:tcW w:w="1549" w:type="dxa"/>
          </w:tcPr>
          <w:p w14:paraId="0450F58F"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1,2</w:t>
            </w:r>
          </w:p>
        </w:tc>
      </w:tr>
      <w:tr w:rsidR="00E56B2E" w:rsidRPr="00E56B2E" w14:paraId="3953FDA8" w14:textId="77777777" w:rsidTr="00E5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D08282D"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Norges Banks styringsrente (%-nivå)</w:t>
            </w:r>
          </w:p>
        </w:tc>
        <w:tc>
          <w:tcPr>
            <w:tcW w:w="1843" w:type="dxa"/>
          </w:tcPr>
          <w:p w14:paraId="3CFA4C3F"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0,1</w:t>
            </w:r>
          </w:p>
        </w:tc>
        <w:tc>
          <w:tcPr>
            <w:tcW w:w="1559" w:type="dxa"/>
          </w:tcPr>
          <w:p w14:paraId="694BD723"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0,9</w:t>
            </w:r>
          </w:p>
        </w:tc>
        <w:tc>
          <w:tcPr>
            <w:tcW w:w="1549" w:type="dxa"/>
          </w:tcPr>
          <w:p w14:paraId="1D895A25"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2,0</w:t>
            </w:r>
          </w:p>
        </w:tc>
      </w:tr>
      <w:tr w:rsidR="00E56B2E" w:rsidRPr="00E56B2E" w14:paraId="13A100A9" w14:textId="77777777" w:rsidTr="003462C2">
        <w:tc>
          <w:tcPr>
            <w:cnfStyle w:val="001000000000" w:firstRow="0" w:lastRow="0" w:firstColumn="1" w:lastColumn="0" w:oddVBand="0" w:evenVBand="0" w:oddHBand="0" w:evenHBand="0" w:firstRowFirstColumn="0" w:firstRowLastColumn="0" w:lastRowFirstColumn="0" w:lastRowLastColumn="0"/>
            <w:tcW w:w="4111" w:type="dxa"/>
          </w:tcPr>
          <w:p w14:paraId="6636E30E"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Konsumpris – KPI (%-vekst)</w:t>
            </w:r>
          </w:p>
        </w:tc>
        <w:tc>
          <w:tcPr>
            <w:tcW w:w="1843" w:type="dxa"/>
          </w:tcPr>
          <w:p w14:paraId="62B185CC"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3,5</w:t>
            </w:r>
          </w:p>
        </w:tc>
        <w:tc>
          <w:tcPr>
            <w:tcW w:w="1559" w:type="dxa"/>
          </w:tcPr>
          <w:p w14:paraId="4F66CAA9"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3,3</w:t>
            </w:r>
          </w:p>
        </w:tc>
        <w:tc>
          <w:tcPr>
            <w:tcW w:w="1549" w:type="dxa"/>
          </w:tcPr>
          <w:p w14:paraId="35799049"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1,7</w:t>
            </w:r>
          </w:p>
        </w:tc>
      </w:tr>
      <w:tr w:rsidR="00E56B2E" w:rsidRPr="00E56B2E" w14:paraId="1E614745" w14:textId="77777777" w:rsidTr="00E5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2A31974"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Konsumpris – KPI JAE (%-vekst)</w:t>
            </w:r>
          </w:p>
        </w:tc>
        <w:tc>
          <w:tcPr>
            <w:tcW w:w="1843" w:type="dxa"/>
          </w:tcPr>
          <w:p w14:paraId="66144A9C"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1,7</w:t>
            </w:r>
          </w:p>
        </w:tc>
        <w:tc>
          <w:tcPr>
            <w:tcW w:w="1559" w:type="dxa"/>
          </w:tcPr>
          <w:p w14:paraId="337F29D9"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2,5</w:t>
            </w:r>
          </w:p>
        </w:tc>
        <w:tc>
          <w:tcPr>
            <w:tcW w:w="1549" w:type="dxa"/>
          </w:tcPr>
          <w:p w14:paraId="3075483E"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2,5</w:t>
            </w:r>
          </w:p>
        </w:tc>
      </w:tr>
      <w:tr w:rsidR="00E56B2E" w:rsidRPr="00E56B2E" w14:paraId="3A902D77" w14:textId="77777777" w:rsidTr="003462C2">
        <w:tc>
          <w:tcPr>
            <w:cnfStyle w:val="001000000000" w:firstRow="0" w:lastRow="0" w:firstColumn="1" w:lastColumn="0" w:oddVBand="0" w:evenVBand="0" w:oddHBand="0" w:evenHBand="0" w:firstRowFirstColumn="0" w:firstRowLastColumn="0" w:lastRowFirstColumn="0" w:lastRowLastColumn="0"/>
            <w:tcW w:w="4111" w:type="dxa"/>
          </w:tcPr>
          <w:p w14:paraId="14F7E641" w14:textId="77777777" w:rsidR="00E56B2E" w:rsidRPr="00E56B2E" w:rsidRDefault="00E56B2E" w:rsidP="00E56B2E">
            <w:pPr>
              <w:spacing w:after="0" w:line="240" w:lineRule="auto"/>
              <w:rPr>
                <w:rFonts w:ascii="Open Sans" w:eastAsia="Calibri" w:hAnsi="Open Sans" w:cs="Open Sans"/>
                <w:szCs w:val="20"/>
                <w:vertAlign w:val="superscript"/>
              </w:rPr>
            </w:pPr>
            <w:r w:rsidRPr="00E56B2E">
              <w:rPr>
                <w:rFonts w:ascii="Open Sans" w:eastAsia="Calibri" w:hAnsi="Open Sans" w:cs="Open Sans"/>
                <w:szCs w:val="20"/>
              </w:rPr>
              <w:t xml:space="preserve">Kronekurs – I44 (%-endring) </w:t>
            </w:r>
            <w:r w:rsidRPr="00E56B2E">
              <w:rPr>
                <w:rFonts w:ascii="Open Sans" w:eastAsia="Calibri" w:hAnsi="Open Sans" w:cs="Open Sans"/>
                <w:szCs w:val="20"/>
                <w:vertAlign w:val="superscript"/>
              </w:rPr>
              <w:t>1)</w:t>
            </w:r>
          </w:p>
        </w:tc>
        <w:tc>
          <w:tcPr>
            <w:tcW w:w="1843" w:type="dxa"/>
          </w:tcPr>
          <w:p w14:paraId="05490A55"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-5,3</w:t>
            </w:r>
          </w:p>
        </w:tc>
        <w:tc>
          <w:tcPr>
            <w:tcW w:w="1559" w:type="dxa"/>
          </w:tcPr>
          <w:p w14:paraId="5E1E13A0"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-3,5</w:t>
            </w:r>
          </w:p>
        </w:tc>
        <w:tc>
          <w:tcPr>
            <w:tcW w:w="1549" w:type="dxa"/>
          </w:tcPr>
          <w:p w14:paraId="42E3DC88"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-2,3</w:t>
            </w:r>
          </w:p>
        </w:tc>
      </w:tr>
    </w:tbl>
    <w:p w14:paraId="482D02D3" w14:textId="415BE00E" w:rsidR="00E56B2E" w:rsidRPr="00E56B2E" w:rsidRDefault="00E56B2E" w:rsidP="00E56B2E">
      <w:pPr>
        <w:spacing w:after="0" w:line="240" w:lineRule="auto"/>
        <w:rPr>
          <w:rFonts w:ascii="Open Sans" w:eastAsia="Calibri" w:hAnsi="Open Sans" w:cs="Open Sans"/>
          <w:i/>
          <w:szCs w:val="24"/>
        </w:rPr>
      </w:pPr>
      <w:r w:rsidRPr="00E56B2E">
        <w:rPr>
          <w:rFonts w:ascii="Open Sans" w:eastAsia="Calibri" w:hAnsi="Open Sans" w:cs="Open Sans"/>
          <w:i/>
          <w:szCs w:val="24"/>
          <w:vertAlign w:val="superscript"/>
        </w:rPr>
        <w:t>1)</w:t>
      </w:r>
      <w:r w:rsidRPr="00E56B2E">
        <w:rPr>
          <w:rFonts w:ascii="Open Sans" w:eastAsia="Calibri" w:hAnsi="Open Sans" w:cs="Open Sans"/>
          <w:i/>
          <w:szCs w:val="24"/>
        </w:rPr>
        <w:t xml:space="preserve"> Positivt tall innebærer svekket krone</w:t>
      </w:r>
      <w:r w:rsidR="00B94C4C">
        <w:rPr>
          <w:rFonts w:ascii="Open Sans" w:eastAsia="Calibri" w:hAnsi="Open Sans" w:cs="Open Sans"/>
          <w:i/>
          <w:szCs w:val="24"/>
        </w:rPr>
        <w:t>, negativt tall innebærer styrket krone</w:t>
      </w:r>
    </w:p>
    <w:p w14:paraId="01D23545" w14:textId="77777777" w:rsidR="00E56B2E" w:rsidRPr="00E56B2E" w:rsidRDefault="00E56B2E" w:rsidP="00E56B2E">
      <w:pPr>
        <w:spacing w:after="0" w:line="240" w:lineRule="auto"/>
        <w:rPr>
          <w:rFonts w:ascii="Times New Roman" w:eastAsia="Calibri" w:hAnsi="Times New Roman" w:cs="Times New Roman"/>
          <w:sz w:val="28"/>
          <w:szCs w:val="28"/>
          <w:u w:val="single"/>
        </w:rPr>
      </w:pPr>
    </w:p>
    <w:p w14:paraId="1DC0D628" w14:textId="77777777" w:rsidR="00B973B7" w:rsidRDefault="00B973B7" w:rsidP="00E56B2E">
      <w:pPr>
        <w:spacing w:after="0" w:line="240" w:lineRule="auto"/>
        <w:rPr>
          <w:rFonts w:ascii="Open Sans" w:eastAsia="Calibri" w:hAnsi="Open Sans" w:cs="Open Sans"/>
          <w:sz w:val="22"/>
          <w:u w:val="single"/>
        </w:rPr>
      </w:pPr>
    </w:p>
    <w:p w14:paraId="1F8981C9" w14:textId="77777777" w:rsidR="00B973B7" w:rsidRDefault="00B973B7" w:rsidP="00E56B2E">
      <w:pPr>
        <w:spacing w:after="0" w:line="240" w:lineRule="auto"/>
        <w:rPr>
          <w:rFonts w:ascii="Open Sans" w:eastAsia="Calibri" w:hAnsi="Open Sans" w:cs="Open Sans"/>
          <w:sz w:val="22"/>
          <w:u w:val="single"/>
        </w:rPr>
      </w:pPr>
    </w:p>
    <w:p w14:paraId="785238A8" w14:textId="09E489DC" w:rsidR="00E56B2E" w:rsidRPr="00E56B2E" w:rsidRDefault="00E56B2E" w:rsidP="00E56B2E">
      <w:pPr>
        <w:spacing w:after="0" w:line="240" w:lineRule="auto"/>
        <w:rPr>
          <w:rFonts w:ascii="Open Sans" w:eastAsia="Calibri" w:hAnsi="Open Sans" w:cs="Open Sans"/>
          <w:sz w:val="22"/>
          <w:u w:val="single"/>
        </w:rPr>
      </w:pPr>
      <w:r w:rsidRPr="00E56B2E">
        <w:rPr>
          <w:rFonts w:ascii="Open Sans" w:eastAsia="Calibri" w:hAnsi="Open Sans" w:cs="Open Sans"/>
          <w:sz w:val="22"/>
          <w:u w:val="single"/>
        </w:rPr>
        <w:t>Etterspørselen fra husholdningene</w:t>
      </w:r>
    </w:p>
    <w:p w14:paraId="055485C4" w14:textId="4ACFF844" w:rsidR="00E56B2E" w:rsidRPr="00E56B2E" w:rsidRDefault="00E56B2E" w:rsidP="00E56B2E">
      <w:pPr>
        <w:spacing w:after="0" w:line="240" w:lineRule="auto"/>
        <w:jc w:val="both"/>
        <w:rPr>
          <w:rFonts w:ascii="Times New Roman" w:eastAsia="Calibri" w:hAnsi="Times New Roman" w:cs="Times New Roman"/>
          <w:sz w:val="28"/>
          <w:szCs w:val="28"/>
          <w:u w:val="single"/>
        </w:rPr>
      </w:pPr>
      <w:r w:rsidRPr="00E56B2E">
        <w:rPr>
          <w:rFonts w:ascii="Open Sans" w:eastAsia="Calibri" w:hAnsi="Open Sans" w:cs="Open Sans"/>
          <w:sz w:val="22"/>
        </w:rPr>
        <w:t>Konsummønsteret til husholdninger endret seg betydelig under koronapandemien da smitteverntiltakene la begrensninger på hva som kunne konsumeres, særlig av tjenester.</w:t>
      </w:r>
      <w:r w:rsidR="00B94C4C">
        <w:rPr>
          <w:rFonts w:ascii="Open Sans" w:eastAsia="Calibri" w:hAnsi="Open Sans" w:cs="Open Sans"/>
          <w:sz w:val="22"/>
        </w:rPr>
        <w:t xml:space="preserve"> </w:t>
      </w:r>
      <w:r w:rsidRPr="00E56B2E">
        <w:rPr>
          <w:rFonts w:ascii="Open Sans" w:eastAsia="Calibri" w:hAnsi="Open Sans" w:cs="Open Sans"/>
          <w:sz w:val="22"/>
        </w:rPr>
        <w:t>Husholdningenes sparerate steg betraktelig fra 7,0 pst. i 2019 til rekordhøye 14,2 pst. i 2020.  Husholdningenes konsum gikk opp med 5 pst. i fjor, mens spareraten falt svakt til 13,1 pst.  Som følge av gjenåpning av samfunnet, vil husholdningenes konsum gå videre opp og spareraten vil etter hvert falle mot et mer normalt nivå. Vi anslår at privat konsum vokser med 7,5 pst. i år (hvor spareraten reduseres med 4,3 p</w:t>
      </w:r>
      <w:r w:rsidR="002A0C0C">
        <w:rPr>
          <w:rFonts w:ascii="Open Sans" w:eastAsia="Calibri" w:hAnsi="Open Sans" w:cs="Open Sans"/>
          <w:sz w:val="22"/>
        </w:rPr>
        <w:t>st.-</w:t>
      </w:r>
      <w:r w:rsidRPr="00E56B2E">
        <w:rPr>
          <w:rFonts w:ascii="Open Sans" w:eastAsia="Calibri" w:hAnsi="Open Sans" w:cs="Open Sans"/>
          <w:sz w:val="22"/>
        </w:rPr>
        <w:t>poeng) og ytterligere 3,6 pst. til neste år (hvor spareraten reduseres marginalt med 0,2 p</w:t>
      </w:r>
      <w:r w:rsidR="002A0C0C">
        <w:rPr>
          <w:rFonts w:ascii="Open Sans" w:eastAsia="Calibri" w:hAnsi="Open Sans" w:cs="Open Sans"/>
          <w:sz w:val="22"/>
        </w:rPr>
        <w:t>st.-</w:t>
      </w:r>
      <w:r w:rsidRPr="00E56B2E">
        <w:rPr>
          <w:rFonts w:ascii="Open Sans" w:eastAsia="Calibri" w:hAnsi="Open Sans" w:cs="Open Sans"/>
          <w:sz w:val="22"/>
        </w:rPr>
        <w:t xml:space="preserve">poeng). </w:t>
      </w:r>
    </w:p>
    <w:p w14:paraId="169C56A5" w14:textId="77777777" w:rsidR="00E56B2E" w:rsidRPr="00E56B2E" w:rsidRDefault="00E56B2E" w:rsidP="00E56B2E">
      <w:pPr>
        <w:spacing w:after="0" w:line="240" w:lineRule="auto"/>
        <w:rPr>
          <w:rFonts w:ascii="Times New Roman" w:eastAsia="Calibri" w:hAnsi="Times New Roman" w:cs="Times New Roman"/>
          <w:sz w:val="28"/>
          <w:szCs w:val="28"/>
          <w:u w:val="single"/>
        </w:rPr>
      </w:pPr>
    </w:p>
    <w:p w14:paraId="06B4B264" w14:textId="77777777" w:rsidR="00E56B2E" w:rsidRPr="00E56B2E" w:rsidRDefault="00E56B2E" w:rsidP="00E56B2E">
      <w:pPr>
        <w:spacing w:after="0" w:line="240" w:lineRule="auto"/>
        <w:rPr>
          <w:rFonts w:ascii="Open Sans" w:eastAsia="Calibri" w:hAnsi="Open Sans" w:cs="Open Sans"/>
          <w:sz w:val="22"/>
          <w:u w:val="single"/>
        </w:rPr>
      </w:pPr>
      <w:r w:rsidRPr="00E56B2E">
        <w:rPr>
          <w:rFonts w:ascii="Open Sans" w:eastAsia="Calibri" w:hAnsi="Open Sans" w:cs="Open Sans"/>
          <w:sz w:val="22"/>
          <w:u w:val="single"/>
        </w:rPr>
        <w:t>Investeringssiden</w:t>
      </w:r>
    </w:p>
    <w:p w14:paraId="5D2C4D84" w14:textId="5D248D5D"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I 2021 falt petroleumsinvesteringene samlet med 2,8 pst. Høyere olje- og gasspriser samt gunstige skatteregler gir en kraftig stimulans til petroleumsinvesteringer, men det tar tid for operatørene å oppjustere sine investeringsplaner og omfordele ressursene.  SSBs siste investeringstelling tyder fortsatt på et volum-fall i petroleumsinvesteringene i inneværende år, mens det vil snu til solid vekst i 2023.  I vår konjunkturvurdering legger vi til grunn at petroleumsinvesteringene reelt faller med 5 pst. i 2022 og stiger med 10 pst. i 2023.  Den midlertidige skatteletten for nye feltutbygginger har bidratt til å unngå et stort fall som kunne kommet etter oljeprisfallet i 2020, og bidrar nå til vekst i 2023.</w:t>
      </w:r>
    </w:p>
    <w:p w14:paraId="07A69AB9" w14:textId="77777777" w:rsidR="00E56B2E" w:rsidRPr="00E56B2E" w:rsidRDefault="00E56B2E" w:rsidP="00E56B2E">
      <w:pPr>
        <w:spacing w:after="0" w:line="240" w:lineRule="auto"/>
        <w:jc w:val="both"/>
        <w:rPr>
          <w:rFonts w:ascii="Open Sans" w:eastAsia="Calibri" w:hAnsi="Open Sans" w:cs="Open Sans"/>
          <w:sz w:val="22"/>
        </w:rPr>
      </w:pPr>
    </w:p>
    <w:p w14:paraId="1D8A4F8D" w14:textId="77777777"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 xml:space="preserve">Boligprisveksten har vært høy det siste året, men renteoppgangen framover vil trolig dempe boligprisveksten. Vi anslår at boliginvesteringene vil løfte seg moderat i tiden framover. </w:t>
      </w:r>
    </w:p>
    <w:p w14:paraId="5E1A8B5E" w14:textId="77777777" w:rsidR="00E56B2E" w:rsidRPr="00E56B2E" w:rsidRDefault="00E56B2E" w:rsidP="00E56B2E">
      <w:pPr>
        <w:spacing w:after="0" w:line="240" w:lineRule="auto"/>
        <w:jc w:val="both"/>
        <w:rPr>
          <w:rFonts w:ascii="Open Sans" w:eastAsia="Calibri" w:hAnsi="Open Sans" w:cs="Open Sans"/>
          <w:sz w:val="22"/>
        </w:rPr>
      </w:pPr>
    </w:p>
    <w:p w14:paraId="27DF8410" w14:textId="191E8B2A" w:rsidR="00E56B2E" w:rsidRPr="00E56B2E" w:rsidRDefault="00E56B2E" w:rsidP="005E096E">
      <w:pPr>
        <w:spacing w:after="0" w:line="240" w:lineRule="auto"/>
        <w:jc w:val="both"/>
        <w:rPr>
          <w:rFonts w:ascii="Open Sans" w:eastAsia="Calibri" w:hAnsi="Open Sans" w:cs="Open Sans"/>
          <w:sz w:val="22"/>
        </w:rPr>
      </w:pPr>
      <w:r w:rsidRPr="00E56B2E">
        <w:rPr>
          <w:rFonts w:ascii="Open Sans" w:eastAsia="Calibri" w:hAnsi="Open Sans" w:cs="Open Sans"/>
          <w:sz w:val="22"/>
        </w:rPr>
        <w:t>Næringsinvesteringene falt markert i 2020, spesielt innenfor industrien.  Fallet stoppet opp og snudde til en årsvekst på 2,2 pst. i 2021.  Både SSBs investeringstelling og Norges Banks Regionale Nettverk tyder på en betydelig investeringsvekst framover. Klima- og energiomstilling vil samlet sett gi økte investeringer i fastlandsvirksomheter. Industrivirksomhetene investerer nå i hovedsak for å redusere utslipp samt for å sikre energieffektivisering. Videre er flere batterifabrikker og hydrogenanlegg i oppstarts- og planleggingsfasen, og noen av selskapene er i gang med pilotanlegg. Dersom selskapene</w:t>
      </w:r>
      <w:r w:rsidR="00D27BA2">
        <w:rPr>
          <w:rFonts w:ascii="Open Sans" w:eastAsia="Calibri" w:hAnsi="Open Sans" w:cs="Open Sans"/>
          <w:sz w:val="22"/>
        </w:rPr>
        <w:t xml:space="preserve"> </w:t>
      </w:r>
      <w:r w:rsidRPr="00E56B2E">
        <w:rPr>
          <w:rFonts w:ascii="Open Sans" w:eastAsia="Calibri" w:hAnsi="Open Sans" w:cs="Open Sans"/>
          <w:sz w:val="22"/>
        </w:rPr>
        <w:t xml:space="preserve">lykkes med teknologiutviklingen, og planene om fullskala produksjon blir satt ut i livet, vil det gi investeringer på flere titalls milliarder kroner i årene framover. </w:t>
      </w:r>
    </w:p>
    <w:p w14:paraId="44DA1408" w14:textId="77777777" w:rsidR="00E56B2E" w:rsidRPr="00E56B2E" w:rsidRDefault="00E56B2E" w:rsidP="00E56B2E">
      <w:pPr>
        <w:spacing w:after="0" w:line="240" w:lineRule="auto"/>
        <w:jc w:val="both"/>
        <w:rPr>
          <w:rFonts w:ascii="Open Sans" w:eastAsia="Calibri" w:hAnsi="Open Sans" w:cs="Open Sans"/>
          <w:sz w:val="22"/>
        </w:rPr>
      </w:pPr>
    </w:p>
    <w:p w14:paraId="7D3F55E9" w14:textId="77777777" w:rsidR="00E56B2E" w:rsidRPr="00E56B2E" w:rsidRDefault="00E56B2E" w:rsidP="00E56B2E">
      <w:pPr>
        <w:spacing w:after="0" w:line="240" w:lineRule="auto"/>
        <w:jc w:val="both"/>
        <w:rPr>
          <w:rFonts w:ascii="Open Sans" w:eastAsia="Calibri" w:hAnsi="Open Sans" w:cs="Open Sans"/>
          <w:sz w:val="22"/>
        </w:rPr>
      </w:pPr>
      <w:r w:rsidRPr="00E56B2E">
        <w:rPr>
          <w:rFonts w:ascii="Open Sans" w:eastAsia="Calibri" w:hAnsi="Open Sans" w:cs="Open Sans"/>
          <w:sz w:val="22"/>
        </w:rPr>
        <w:t>Samlet sett ventes fastlandsinvesteringene å øke med 4,7 pst. i 2022 og 3,9 pst. i 2023.</w:t>
      </w:r>
    </w:p>
    <w:p w14:paraId="01CFD824" w14:textId="77777777" w:rsidR="00E56B2E" w:rsidRPr="00E56B2E" w:rsidRDefault="00E56B2E" w:rsidP="00E56B2E">
      <w:pPr>
        <w:spacing w:after="0" w:line="240" w:lineRule="auto"/>
        <w:rPr>
          <w:rFonts w:ascii="Open Sans" w:eastAsia="Calibri" w:hAnsi="Open Sans" w:cs="Open Sans"/>
          <w:sz w:val="22"/>
        </w:rPr>
      </w:pPr>
    </w:p>
    <w:p w14:paraId="26AA5652" w14:textId="77777777" w:rsidR="00B973B7" w:rsidRDefault="00B973B7">
      <w:pPr>
        <w:spacing w:after="160" w:line="259" w:lineRule="auto"/>
        <w:rPr>
          <w:rFonts w:ascii="Open Sans" w:eastAsia="Calibri" w:hAnsi="Open Sans" w:cs="Open Sans"/>
          <w:i/>
          <w:iCs/>
          <w:sz w:val="22"/>
        </w:rPr>
      </w:pPr>
      <w:r>
        <w:rPr>
          <w:rFonts w:ascii="Open Sans" w:eastAsia="Calibri" w:hAnsi="Open Sans" w:cs="Open Sans"/>
          <w:i/>
          <w:iCs/>
          <w:sz w:val="22"/>
        </w:rPr>
        <w:br w:type="page"/>
      </w:r>
    </w:p>
    <w:p w14:paraId="1DA3805F" w14:textId="546AF79E" w:rsidR="00E56B2E" w:rsidRPr="00E56B2E" w:rsidRDefault="00E56B2E" w:rsidP="00E56B2E">
      <w:pPr>
        <w:spacing w:after="0" w:line="240" w:lineRule="auto"/>
        <w:rPr>
          <w:rFonts w:ascii="Open Sans" w:eastAsia="Calibri" w:hAnsi="Open Sans" w:cs="Open Sans"/>
          <w:i/>
          <w:iCs/>
          <w:sz w:val="22"/>
        </w:rPr>
      </w:pPr>
      <w:r w:rsidRPr="00E56B2E">
        <w:rPr>
          <w:rFonts w:ascii="Open Sans" w:eastAsia="Calibri" w:hAnsi="Open Sans" w:cs="Open Sans"/>
          <w:i/>
          <w:iCs/>
          <w:sz w:val="22"/>
        </w:rPr>
        <w:lastRenderedPageBreak/>
        <w:t>LOs anslag om investeringene</w:t>
      </w:r>
    </w:p>
    <w:tbl>
      <w:tblPr>
        <w:tblStyle w:val="Rutenettabell2uthevingsfarge21"/>
        <w:tblW w:w="0" w:type="auto"/>
        <w:tblLook w:val="04A0" w:firstRow="1" w:lastRow="0" w:firstColumn="1" w:lastColumn="0" w:noHBand="0" w:noVBand="1"/>
      </w:tblPr>
      <w:tblGrid>
        <w:gridCol w:w="3813"/>
        <w:gridCol w:w="1556"/>
        <w:gridCol w:w="1694"/>
        <w:gridCol w:w="1441"/>
      </w:tblGrid>
      <w:tr w:rsidR="00E56B2E" w:rsidRPr="00E56B2E" w14:paraId="18B3AACC" w14:textId="77777777" w:rsidTr="00E56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F4B083"/>
            </w:tcBorders>
          </w:tcPr>
          <w:p w14:paraId="24808532"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Volumvekst</w:t>
            </w:r>
          </w:p>
        </w:tc>
        <w:tc>
          <w:tcPr>
            <w:tcW w:w="1701" w:type="dxa"/>
            <w:tcBorders>
              <w:top w:val="single" w:sz="12" w:space="0" w:color="F4B083"/>
            </w:tcBorders>
          </w:tcPr>
          <w:p w14:paraId="7182A0FC"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2021</w:t>
            </w:r>
          </w:p>
        </w:tc>
        <w:tc>
          <w:tcPr>
            <w:tcW w:w="1843" w:type="dxa"/>
            <w:tcBorders>
              <w:top w:val="single" w:sz="12" w:space="0" w:color="F4B083"/>
            </w:tcBorders>
          </w:tcPr>
          <w:p w14:paraId="3B66CAE0"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2022*</w:t>
            </w:r>
          </w:p>
        </w:tc>
        <w:tc>
          <w:tcPr>
            <w:tcW w:w="1549" w:type="dxa"/>
            <w:tcBorders>
              <w:top w:val="single" w:sz="12" w:space="0" w:color="F4B083"/>
            </w:tcBorders>
          </w:tcPr>
          <w:p w14:paraId="7181B96E" w14:textId="77777777" w:rsidR="00E56B2E" w:rsidRPr="00E56B2E" w:rsidRDefault="00E56B2E" w:rsidP="00E5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Cs w:val="20"/>
              </w:rPr>
            </w:pPr>
            <w:r w:rsidRPr="00E56B2E">
              <w:rPr>
                <w:rFonts w:ascii="Open Sans" w:eastAsia="Calibri" w:hAnsi="Open Sans" w:cs="Open Sans"/>
                <w:szCs w:val="20"/>
              </w:rPr>
              <w:t>2023*</w:t>
            </w:r>
          </w:p>
        </w:tc>
      </w:tr>
      <w:tr w:rsidR="00E56B2E" w:rsidRPr="00E56B2E" w14:paraId="49AB4894" w14:textId="77777777" w:rsidTr="00E5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FAC1513"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Petroleumsinvesteringene</w:t>
            </w:r>
          </w:p>
        </w:tc>
        <w:tc>
          <w:tcPr>
            <w:tcW w:w="1701" w:type="dxa"/>
          </w:tcPr>
          <w:p w14:paraId="47B13FE3"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-2,8</w:t>
            </w:r>
          </w:p>
        </w:tc>
        <w:tc>
          <w:tcPr>
            <w:tcW w:w="1843" w:type="dxa"/>
          </w:tcPr>
          <w:p w14:paraId="75ECB3F7"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-5,0</w:t>
            </w:r>
          </w:p>
        </w:tc>
        <w:tc>
          <w:tcPr>
            <w:tcW w:w="1549" w:type="dxa"/>
          </w:tcPr>
          <w:p w14:paraId="14C0F608" w14:textId="77777777" w:rsidR="00E56B2E" w:rsidRPr="00E56B2E" w:rsidRDefault="00E56B2E" w:rsidP="00E5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10,0</w:t>
            </w:r>
          </w:p>
        </w:tc>
      </w:tr>
      <w:tr w:rsidR="00E56B2E" w:rsidRPr="00E56B2E" w14:paraId="0A1CDE7F" w14:textId="77777777" w:rsidTr="003462C2">
        <w:tc>
          <w:tcPr>
            <w:cnfStyle w:val="001000000000" w:firstRow="0" w:lastRow="0" w:firstColumn="1" w:lastColumn="0" w:oddVBand="0" w:evenVBand="0" w:oddHBand="0" w:evenHBand="0" w:firstRowFirstColumn="0" w:firstRowLastColumn="0" w:lastRowFirstColumn="0" w:lastRowLastColumn="0"/>
            <w:tcW w:w="3969" w:type="dxa"/>
          </w:tcPr>
          <w:p w14:paraId="4B0C2E08" w14:textId="77777777" w:rsidR="00E56B2E" w:rsidRPr="00E56B2E" w:rsidRDefault="00E56B2E" w:rsidP="00E56B2E">
            <w:pPr>
              <w:spacing w:after="0" w:line="240" w:lineRule="auto"/>
              <w:rPr>
                <w:rFonts w:ascii="Open Sans" w:eastAsia="Calibri" w:hAnsi="Open Sans" w:cs="Open Sans"/>
                <w:szCs w:val="20"/>
              </w:rPr>
            </w:pPr>
            <w:r w:rsidRPr="00E56B2E">
              <w:rPr>
                <w:rFonts w:ascii="Open Sans" w:eastAsia="Calibri" w:hAnsi="Open Sans" w:cs="Open Sans"/>
                <w:szCs w:val="20"/>
              </w:rPr>
              <w:t>Fastlandsinvesteringene</w:t>
            </w:r>
          </w:p>
        </w:tc>
        <w:tc>
          <w:tcPr>
            <w:tcW w:w="1701" w:type="dxa"/>
          </w:tcPr>
          <w:p w14:paraId="2D4EC1B3"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0,8</w:t>
            </w:r>
          </w:p>
        </w:tc>
        <w:tc>
          <w:tcPr>
            <w:tcW w:w="1843" w:type="dxa"/>
          </w:tcPr>
          <w:p w14:paraId="4169ACDF"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4,7</w:t>
            </w:r>
          </w:p>
        </w:tc>
        <w:tc>
          <w:tcPr>
            <w:tcW w:w="1549" w:type="dxa"/>
          </w:tcPr>
          <w:p w14:paraId="0E19AD5F" w14:textId="77777777" w:rsidR="00E56B2E" w:rsidRPr="00E56B2E" w:rsidRDefault="00E56B2E" w:rsidP="00E5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bCs/>
                <w:szCs w:val="20"/>
              </w:rPr>
            </w:pPr>
            <w:r w:rsidRPr="00E56B2E">
              <w:rPr>
                <w:rFonts w:ascii="Open Sans" w:eastAsia="Calibri" w:hAnsi="Open Sans" w:cs="Open Sans"/>
                <w:bCs/>
                <w:szCs w:val="20"/>
              </w:rPr>
              <w:t>3,9</w:t>
            </w:r>
          </w:p>
        </w:tc>
      </w:tr>
    </w:tbl>
    <w:p w14:paraId="10905E78" w14:textId="77777777" w:rsidR="00E56B2E" w:rsidRPr="00E56B2E" w:rsidRDefault="00E56B2E" w:rsidP="00E56B2E">
      <w:pPr>
        <w:spacing w:after="0" w:line="240" w:lineRule="auto"/>
        <w:rPr>
          <w:rFonts w:ascii="Times New Roman" w:eastAsia="Calibri" w:hAnsi="Times New Roman" w:cs="Times New Roman"/>
          <w:sz w:val="22"/>
          <w:szCs w:val="24"/>
        </w:rPr>
      </w:pPr>
    </w:p>
    <w:p w14:paraId="0D84DB24" w14:textId="77777777" w:rsidR="00E56B2E" w:rsidRPr="00E56B2E" w:rsidRDefault="00E56B2E" w:rsidP="00E56B2E">
      <w:pPr>
        <w:spacing w:after="0" w:line="240" w:lineRule="auto"/>
        <w:rPr>
          <w:rFonts w:ascii="Open Sans" w:eastAsia="Calibri" w:hAnsi="Open Sans" w:cs="Open Sans"/>
          <w:sz w:val="22"/>
          <w:u w:val="single"/>
        </w:rPr>
      </w:pPr>
      <w:r w:rsidRPr="00E56B2E">
        <w:rPr>
          <w:rFonts w:ascii="Open Sans" w:eastAsia="Calibri" w:hAnsi="Open Sans" w:cs="Open Sans"/>
          <w:sz w:val="22"/>
          <w:u w:val="single"/>
        </w:rPr>
        <w:t>Eksporten tar seg opp</w:t>
      </w:r>
    </w:p>
    <w:p w14:paraId="4B5E01E7" w14:textId="279435C8" w:rsidR="00B973B7" w:rsidRDefault="00E56B2E" w:rsidP="00B973B7">
      <w:pPr>
        <w:spacing w:after="0" w:line="240" w:lineRule="auto"/>
        <w:jc w:val="both"/>
        <w:rPr>
          <w:rFonts w:ascii="Open Sans" w:eastAsia="Calibri" w:hAnsi="Open Sans" w:cs="Open Sans"/>
          <w:sz w:val="22"/>
        </w:rPr>
      </w:pPr>
      <w:r w:rsidRPr="00E56B2E">
        <w:rPr>
          <w:rFonts w:ascii="Open Sans" w:eastAsia="Calibri" w:hAnsi="Open Sans" w:cs="Open Sans"/>
          <w:sz w:val="22"/>
        </w:rPr>
        <w:t>Utfasing</w:t>
      </w:r>
      <w:r w:rsidR="00B204D6">
        <w:rPr>
          <w:rFonts w:ascii="Open Sans" w:eastAsia="Calibri" w:hAnsi="Open Sans" w:cs="Open Sans"/>
          <w:sz w:val="22"/>
        </w:rPr>
        <w:t>en</w:t>
      </w:r>
      <w:r w:rsidRPr="00E56B2E">
        <w:rPr>
          <w:rFonts w:ascii="Open Sans" w:eastAsia="Calibri" w:hAnsi="Open Sans" w:cs="Open Sans"/>
          <w:sz w:val="22"/>
        </w:rPr>
        <w:t xml:space="preserve"> av smitteverntiltak nasjonalt og internasjonalt vil </w:t>
      </w:r>
      <w:r w:rsidR="00B204D6">
        <w:rPr>
          <w:rFonts w:ascii="Open Sans" w:eastAsia="Calibri" w:hAnsi="Open Sans" w:cs="Open Sans"/>
          <w:sz w:val="22"/>
        </w:rPr>
        <w:t xml:space="preserve">trolig </w:t>
      </w:r>
      <w:r w:rsidRPr="00E56B2E">
        <w:rPr>
          <w:rFonts w:ascii="Open Sans" w:eastAsia="Calibri" w:hAnsi="Open Sans" w:cs="Open Sans"/>
          <w:sz w:val="22"/>
        </w:rPr>
        <w:t>stimulere eksporten i tiden framover. Økningen i samlet etterspørsel hos handelspartnere samt forbedringen i kostnadsmessig konkurranseevne hos eksportnæringene over flere år vil også stimulere eksportveksten. Vi anslår at eksporten av tradisjonelle varer øker med om lag 3 pst. både i 2022 og 2023.</w:t>
      </w:r>
    </w:p>
    <w:p w14:paraId="58EE9009" w14:textId="77777777" w:rsidR="00B973B7" w:rsidRDefault="00B973B7" w:rsidP="00B973B7">
      <w:pPr>
        <w:spacing w:after="0" w:line="240" w:lineRule="auto"/>
        <w:jc w:val="both"/>
        <w:rPr>
          <w:rFonts w:ascii="Open Sans" w:eastAsia="Calibri" w:hAnsi="Open Sans" w:cs="Open Sans"/>
          <w:sz w:val="22"/>
        </w:rPr>
      </w:pPr>
    </w:p>
    <w:p w14:paraId="531897F0" w14:textId="77777777" w:rsidR="00B973B7" w:rsidRPr="00F41E7B" w:rsidRDefault="00B973B7" w:rsidP="00B973B7">
      <w:pPr>
        <w:pBdr>
          <w:bottom w:val="single" w:sz="12" w:space="1" w:color="auto"/>
        </w:pBdr>
        <w:spacing w:after="0" w:line="240" w:lineRule="auto"/>
        <w:rPr>
          <w:rFonts w:ascii="Times New Roman" w:eastAsia="Calibri" w:hAnsi="Times New Roman" w:cs="Times New Roman"/>
          <w:szCs w:val="28"/>
        </w:rPr>
      </w:pPr>
    </w:p>
    <w:p w14:paraId="7189B6E3" w14:textId="77777777" w:rsidR="00B973B7" w:rsidRPr="00F41E7B" w:rsidRDefault="00B973B7" w:rsidP="00B973B7">
      <w:pPr>
        <w:spacing w:after="0" w:line="240" w:lineRule="auto"/>
        <w:rPr>
          <w:rFonts w:ascii="Times New Roman" w:eastAsia="Calibri" w:hAnsi="Times New Roman" w:cs="Times New Roman"/>
          <w:szCs w:val="28"/>
        </w:rPr>
      </w:pPr>
    </w:p>
    <w:p w14:paraId="4B3A2776" w14:textId="77777777" w:rsidR="00B973B7" w:rsidRPr="00F41E7B" w:rsidRDefault="00B973B7" w:rsidP="00B973B7">
      <w:pPr>
        <w:spacing w:after="0" w:line="240" w:lineRule="auto"/>
        <w:rPr>
          <w:rFonts w:ascii="Open Sans" w:eastAsia="Calibri" w:hAnsi="Open Sans" w:cs="Open Sans"/>
          <w:b/>
          <w:sz w:val="22"/>
        </w:rPr>
      </w:pPr>
      <w:r w:rsidRPr="00F41E7B">
        <w:rPr>
          <w:rFonts w:ascii="Open Sans" w:eastAsia="Calibri" w:hAnsi="Open Sans" w:cs="Open Sans"/>
          <w:b/>
          <w:sz w:val="22"/>
        </w:rPr>
        <w:t xml:space="preserve">Tabell: LOs konjunkturanslag for 2022 og 2023. </w:t>
      </w:r>
    </w:p>
    <w:tbl>
      <w:tblPr>
        <w:tblStyle w:val="Listetabell3uthevingsfarge51"/>
        <w:tblW w:w="9067" w:type="dxa"/>
        <w:tblLayout w:type="fixed"/>
        <w:tblLook w:val="04A0" w:firstRow="1" w:lastRow="0" w:firstColumn="1" w:lastColumn="0" w:noHBand="0" w:noVBand="1"/>
      </w:tblPr>
      <w:tblGrid>
        <w:gridCol w:w="4957"/>
        <w:gridCol w:w="2055"/>
        <w:gridCol w:w="2055"/>
      </w:tblGrid>
      <w:tr w:rsidR="00B973B7" w:rsidRPr="00F41E7B" w14:paraId="4D1F911F" w14:textId="77777777" w:rsidTr="00131E8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957" w:type="dxa"/>
          </w:tcPr>
          <w:p w14:paraId="1108C398" w14:textId="77777777" w:rsidR="00B973B7" w:rsidRPr="00F41E7B" w:rsidRDefault="00B973B7" w:rsidP="00131E8F">
            <w:pPr>
              <w:spacing w:after="0" w:line="240" w:lineRule="auto"/>
              <w:rPr>
                <w:rFonts w:ascii="Open Sans" w:eastAsia="Times New Roman" w:hAnsi="Open Sans" w:cs="Open Sans"/>
                <w:szCs w:val="20"/>
              </w:rPr>
            </w:pPr>
          </w:p>
        </w:tc>
        <w:tc>
          <w:tcPr>
            <w:tcW w:w="2055" w:type="dxa"/>
            <w:noWrap/>
          </w:tcPr>
          <w:p w14:paraId="18445D03" w14:textId="77777777" w:rsidR="00B973B7" w:rsidRPr="00F41E7B" w:rsidRDefault="00B973B7" w:rsidP="00131E8F">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2022</w:t>
            </w:r>
          </w:p>
        </w:tc>
        <w:tc>
          <w:tcPr>
            <w:tcW w:w="2055" w:type="dxa"/>
            <w:noWrap/>
          </w:tcPr>
          <w:p w14:paraId="11B0F7D0" w14:textId="77777777" w:rsidR="00B973B7" w:rsidRPr="00F41E7B" w:rsidRDefault="00B973B7" w:rsidP="00131E8F">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2023</w:t>
            </w:r>
          </w:p>
        </w:tc>
      </w:tr>
      <w:tr w:rsidR="00B973B7" w:rsidRPr="00F41E7B" w14:paraId="6F96F9F3"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4F0F32B2"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Økonomisk vekst:</w:t>
            </w:r>
          </w:p>
        </w:tc>
        <w:tc>
          <w:tcPr>
            <w:tcW w:w="2055" w:type="dxa"/>
            <w:noWrap/>
            <w:hideMark/>
          </w:tcPr>
          <w:p w14:paraId="1518A7BD"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c>
          <w:tcPr>
            <w:tcW w:w="2055" w:type="dxa"/>
            <w:noWrap/>
            <w:hideMark/>
          </w:tcPr>
          <w:p w14:paraId="6DE7C5AA"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r>
      <w:tr w:rsidR="00B973B7" w:rsidRPr="00F41E7B" w14:paraId="7774ACA9"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FFFF00"/>
            <w:hideMark/>
          </w:tcPr>
          <w:p w14:paraId="0DFFCE66"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BNP fastlands-Norge</w:t>
            </w:r>
          </w:p>
        </w:tc>
        <w:tc>
          <w:tcPr>
            <w:tcW w:w="2055" w:type="dxa"/>
            <w:shd w:val="clear" w:color="auto" w:fill="FFFF00"/>
            <w:noWrap/>
            <w:hideMark/>
          </w:tcPr>
          <w:p w14:paraId="299DE0EB"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3,5</w:t>
            </w:r>
          </w:p>
        </w:tc>
        <w:tc>
          <w:tcPr>
            <w:tcW w:w="2055" w:type="dxa"/>
            <w:shd w:val="clear" w:color="auto" w:fill="FFFF00"/>
            <w:noWrap/>
            <w:hideMark/>
          </w:tcPr>
          <w:p w14:paraId="28CA6440"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2,6</w:t>
            </w:r>
          </w:p>
        </w:tc>
      </w:tr>
      <w:tr w:rsidR="00B973B7" w:rsidRPr="00F41E7B" w14:paraId="07833530"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5210BF30"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Konsum:</w:t>
            </w:r>
          </w:p>
        </w:tc>
        <w:tc>
          <w:tcPr>
            <w:tcW w:w="2055" w:type="dxa"/>
            <w:noWrap/>
            <w:hideMark/>
          </w:tcPr>
          <w:p w14:paraId="67836E93"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c>
          <w:tcPr>
            <w:tcW w:w="2055" w:type="dxa"/>
            <w:noWrap/>
            <w:hideMark/>
          </w:tcPr>
          <w:p w14:paraId="3835EAF3"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r>
      <w:tr w:rsidR="00B973B7" w:rsidRPr="00F41E7B" w14:paraId="5C787DCC"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FFFF00"/>
            <w:hideMark/>
          </w:tcPr>
          <w:p w14:paraId="4F9C1BCC"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Privat konsum</w:t>
            </w:r>
          </w:p>
        </w:tc>
        <w:tc>
          <w:tcPr>
            <w:tcW w:w="2055" w:type="dxa"/>
            <w:shd w:val="clear" w:color="auto" w:fill="FFFF00"/>
            <w:noWrap/>
            <w:hideMark/>
          </w:tcPr>
          <w:p w14:paraId="32E34524"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7,5</w:t>
            </w:r>
          </w:p>
        </w:tc>
        <w:tc>
          <w:tcPr>
            <w:tcW w:w="2055" w:type="dxa"/>
            <w:shd w:val="clear" w:color="auto" w:fill="FFFF00"/>
            <w:noWrap/>
            <w:hideMark/>
          </w:tcPr>
          <w:p w14:paraId="53E03C5C"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3,6</w:t>
            </w:r>
          </w:p>
        </w:tc>
      </w:tr>
      <w:tr w:rsidR="00B973B7" w:rsidRPr="00F41E7B" w14:paraId="6B2E4EFB" w14:textId="77777777" w:rsidTr="5A5B66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tcPr>
          <w:p w14:paraId="157ED5ED"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Offentlig konsum</w:t>
            </w:r>
          </w:p>
        </w:tc>
        <w:tc>
          <w:tcPr>
            <w:tcW w:w="2055" w:type="dxa"/>
            <w:shd w:val="clear" w:color="auto" w:fill="FFFFFF" w:themeFill="background1"/>
            <w:noWrap/>
          </w:tcPr>
          <w:p w14:paraId="3DE19E45"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1,0</w:t>
            </w:r>
          </w:p>
        </w:tc>
        <w:tc>
          <w:tcPr>
            <w:tcW w:w="2055" w:type="dxa"/>
            <w:shd w:val="clear" w:color="auto" w:fill="FFFFFF" w:themeFill="background1"/>
            <w:noWrap/>
          </w:tcPr>
          <w:p w14:paraId="13818740"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1,2</w:t>
            </w:r>
          </w:p>
        </w:tc>
      </w:tr>
      <w:tr w:rsidR="00B973B7" w:rsidRPr="00F41E7B" w14:paraId="755A6A56"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6A98DDE1"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Bruttoinvesteringer:</w:t>
            </w:r>
          </w:p>
        </w:tc>
        <w:tc>
          <w:tcPr>
            <w:tcW w:w="2055" w:type="dxa"/>
            <w:noWrap/>
            <w:hideMark/>
          </w:tcPr>
          <w:p w14:paraId="0584F3C2"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p>
        </w:tc>
        <w:tc>
          <w:tcPr>
            <w:tcW w:w="2055" w:type="dxa"/>
            <w:noWrap/>
            <w:hideMark/>
          </w:tcPr>
          <w:p w14:paraId="588805FC"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p>
        </w:tc>
      </w:tr>
      <w:tr w:rsidR="00B973B7" w:rsidRPr="00F41E7B" w14:paraId="3184D499"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hideMark/>
          </w:tcPr>
          <w:p w14:paraId="28AE649F"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Fastlands Norge</w:t>
            </w:r>
          </w:p>
        </w:tc>
        <w:tc>
          <w:tcPr>
            <w:tcW w:w="2055" w:type="dxa"/>
            <w:shd w:val="clear" w:color="auto" w:fill="auto"/>
            <w:noWrap/>
            <w:hideMark/>
          </w:tcPr>
          <w:p w14:paraId="4556F982"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4,7</w:t>
            </w:r>
          </w:p>
        </w:tc>
        <w:tc>
          <w:tcPr>
            <w:tcW w:w="2055" w:type="dxa"/>
            <w:shd w:val="clear" w:color="auto" w:fill="auto"/>
            <w:noWrap/>
            <w:hideMark/>
          </w:tcPr>
          <w:p w14:paraId="34AED096"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3,9</w:t>
            </w:r>
          </w:p>
        </w:tc>
      </w:tr>
      <w:tr w:rsidR="00B973B7" w:rsidRPr="00F41E7B" w14:paraId="42E03F9A"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4FDCBDB5"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Oljeinvesteringer</w:t>
            </w:r>
          </w:p>
        </w:tc>
        <w:tc>
          <w:tcPr>
            <w:tcW w:w="2055" w:type="dxa"/>
            <w:noWrap/>
            <w:hideMark/>
          </w:tcPr>
          <w:p w14:paraId="6266B792"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-5,0</w:t>
            </w:r>
          </w:p>
        </w:tc>
        <w:tc>
          <w:tcPr>
            <w:tcW w:w="2055" w:type="dxa"/>
            <w:noWrap/>
            <w:hideMark/>
          </w:tcPr>
          <w:p w14:paraId="199D4EAF"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10,0</w:t>
            </w:r>
          </w:p>
        </w:tc>
      </w:tr>
      <w:tr w:rsidR="00B973B7" w:rsidRPr="00F41E7B" w14:paraId="639E9456"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2FF4E158"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Eksport:</w:t>
            </w:r>
          </w:p>
        </w:tc>
        <w:tc>
          <w:tcPr>
            <w:tcW w:w="2055" w:type="dxa"/>
            <w:noWrap/>
            <w:hideMark/>
          </w:tcPr>
          <w:p w14:paraId="6075C41C"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c>
          <w:tcPr>
            <w:tcW w:w="2055" w:type="dxa"/>
            <w:noWrap/>
            <w:hideMark/>
          </w:tcPr>
          <w:p w14:paraId="20F14987"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r>
      <w:tr w:rsidR="00B973B7" w:rsidRPr="00F41E7B" w14:paraId="377B9D0D"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55AD8E58"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tradisjonelle varer</w:t>
            </w:r>
          </w:p>
        </w:tc>
        <w:tc>
          <w:tcPr>
            <w:tcW w:w="2055" w:type="dxa"/>
            <w:noWrap/>
            <w:hideMark/>
          </w:tcPr>
          <w:p w14:paraId="7E3A9D68"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3,0</w:t>
            </w:r>
          </w:p>
        </w:tc>
        <w:tc>
          <w:tcPr>
            <w:tcW w:w="2055" w:type="dxa"/>
            <w:noWrap/>
            <w:hideMark/>
          </w:tcPr>
          <w:p w14:paraId="29B59E03"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2,9</w:t>
            </w:r>
          </w:p>
        </w:tc>
      </w:tr>
      <w:tr w:rsidR="00B973B7" w:rsidRPr="00F41E7B" w14:paraId="46997D41"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1C44CBE6"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Arbeidsmarkedet:</w:t>
            </w:r>
          </w:p>
        </w:tc>
        <w:tc>
          <w:tcPr>
            <w:tcW w:w="2055" w:type="dxa"/>
            <w:noWrap/>
            <w:hideMark/>
          </w:tcPr>
          <w:p w14:paraId="164EF7AC"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c>
          <w:tcPr>
            <w:tcW w:w="2055" w:type="dxa"/>
            <w:noWrap/>
            <w:hideMark/>
          </w:tcPr>
          <w:p w14:paraId="6E802F0A"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p>
        </w:tc>
      </w:tr>
      <w:tr w:rsidR="00B973B7" w:rsidRPr="00F41E7B" w14:paraId="71E34F57"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FFFF00"/>
            <w:hideMark/>
          </w:tcPr>
          <w:p w14:paraId="096712BD"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Sysselsetting (NR)</w:t>
            </w:r>
          </w:p>
        </w:tc>
        <w:tc>
          <w:tcPr>
            <w:tcW w:w="2055" w:type="dxa"/>
            <w:shd w:val="clear" w:color="auto" w:fill="FFFF00"/>
            <w:noWrap/>
            <w:hideMark/>
          </w:tcPr>
          <w:p w14:paraId="52469442"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2,7</w:t>
            </w:r>
          </w:p>
        </w:tc>
        <w:tc>
          <w:tcPr>
            <w:tcW w:w="2055" w:type="dxa"/>
            <w:shd w:val="clear" w:color="auto" w:fill="FFFF00"/>
            <w:noWrap/>
            <w:hideMark/>
          </w:tcPr>
          <w:p w14:paraId="78B27945"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1,0</w:t>
            </w:r>
          </w:p>
        </w:tc>
      </w:tr>
      <w:tr w:rsidR="00B973B7" w:rsidRPr="00F41E7B" w14:paraId="2FBE3E33"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FFFF00"/>
            <w:hideMark/>
          </w:tcPr>
          <w:p w14:paraId="38679F70"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Arbeidsledighetsrate (AKU)</w:t>
            </w:r>
          </w:p>
        </w:tc>
        <w:tc>
          <w:tcPr>
            <w:tcW w:w="2055" w:type="dxa"/>
            <w:shd w:val="clear" w:color="auto" w:fill="FFFF00"/>
            <w:noWrap/>
            <w:hideMark/>
          </w:tcPr>
          <w:p w14:paraId="7A5C55A3"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3,5</w:t>
            </w:r>
          </w:p>
        </w:tc>
        <w:tc>
          <w:tcPr>
            <w:tcW w:w="2055" w:type="dxa"/>
            <w:shd w:val="clear" w:color="auto" w:fill="FFFF00"/>
            <w:noWrap/>
            <w:hideMark/>
          </w:tcPr>
          <w:p w14:paraId="434E5922"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3,5</w:t>
            </w:r>
          </w:p>
        </w:tc>
      </w:tr>
      <w:tr w:rsidR="00B973B7" w:rsidRPr="00F41E7B" w14:paraId="248C306D"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hideMark/>
          </w:tcPr>
          <w:p w14:paraId="306503FE"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Priser:</w:t>
            </w:r>
          </w:p>
        </w:tc>
        <w:tc>
          <w:tcPr>
            <w:tcW w:w="2055" w:type="dxa"/>
            <w:noWrap/>
            <w:hideMark/>
          </w:tcPr>
          <w:p w14:paraId="2E56FC78"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p>
        </w:tc>
        <w:tc>
          <w:tcPr>
            <w:tcW w:w="2055" w:type="dxa"/>
            <w:noWrap/>
            <w:hideMark/>
          </w:tcPr>
          <w:p w14:paraId="5A204F39"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p>
        </w:tc>
      </w:tr>
      <w:tr w:rsidR="00B973B7" w:rsidRPr="00F41E7B" w14:paraId="44442A80" w14:textId="77777777" w:rsidTr="00131E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FFFF00"/>
            <w:hideMark/>
          </w:tcPr>
          <w:p w14:paraId="312A7C99"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konsumpris (KPI)</w:t>
            </w:r>
          </w:p>
        </w:tc>
        <w:tc>
          <w:tcPr>
            <w:tcW w:w="2055" w:type="dxa"/>
            <w:shd w:val="clear" w:color="auto" w:fill="FFFF00"/>
            <w:noWrap/>
            <w:hideMark/>
          </w:tcPr>
          <w:p w14:paraId="45FAB97F"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3,3</w:t>
            </w:r>
          </w:p>
        </w:tc>
        <w:tc>
          <w:tcPr>
            <w:tcW w:w="2055" w:type="dxa"/>
            <w:shd w:val="clear" w:color="auto" w:fill="FFFF00"/>
            <w:noWrap/>
            <w:hideMark/>
          </w:tcPr>
          <w:p w14:paraId="3EAB14A7" w14:textId="77777777" w:rsidR="00B973B7" w:rsidRPr="00F41E7B" w:rsidRDefault="00B973B7" w:rsidP="00131E8F">
            <w:pPr>
              <w:tabs>
                <w:tab w:val="decimal" w:pos="885"/>
              </w:tabs>
              <w:spacing w:after="0" w:line="240" w:lineRule="auto"/>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1,7</w:t>
            </w:r>
          </w:p>
        </w:tc>
      </w:tr>
      <w:tr w:rsidR="00B973B7" w:rsidRPr="00F41E7B" w14:paraId="5A29B859" w14:textId="77777777" w:rsidTr="00131E8F">
        <w:trPr>
          <w:trHeight w:val="31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061F568E" w14:textId="77777777" w:rsidR="00B973B7" w:rsidRPr="00F41E7B" w:rsidRDefault="00B973B7" w:rsidP="00131E8F">
            <w:pPr>
              <w:spacing w:after="0" w:line="240" w:lineRule="auto"/>
              <w:rPr>
                <w:rFonts w:ascii="Open Sans" w:eastAsia="Times New Roman" w:hAnsi="Open Sans" w:cs="Open Sans"/>
                <w:szCs w:val="20"/>
              </w:rPr>
            </w:pPr>
            <w:r w:rsidRPr="00F41E7B">
              <w:rPr>
                <w:rFonts w:ascii="Open Sans" w:eastAsia="Times New Roman" w:hAnsi="Open Sans" w:cs="Open Sans"/>
                <w:szCs w:val="20"/>
              </w:rPr>
              <w:t>- konsumpris (KPI JAE)</w:t>
            </w:r>
          </w:p>
        </w:tc>
        <w:tc>
          <w:tcPr>
            <w:tcW w:w="2055" w:type="dxa"/>
            <w:shd w:val="clear" w:color="auto" w:fill="auto"/>
            <w:noWrap/>
          </w:tcPr>
          <w:p w14:paraId="7B484832"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2,5</w:t>
            </w:r>
          </w:p>
        </w:tc>
        <w:tc>
          <w:tcPr>
            <w:tcW w:w="2055" w:type="dxa"/>
            <w:shd w:val="clear" w:color="auto" w:fill="auto"/>
            <w:noWrap/>
          </w:tcPr>
          <w:p w14:paraId="1F06925D" w14:textId="77777777" w:rsidR="00B973B7" w:rsidRPr="00F41E7B" w:rsidRDefault="00B973B7" w:rsidP="00131E8F">
            <w:pPr>
              <w:tabs>
                <w:tab w:val="decimal" w:pos="885"/>
              </w:tabs>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Cs w:val="20"/>
              </w:rPr>
            </w:pPr>
            <w:r w:rsidRPr="00F41E7B">
              <w:rPr>
                <w:rFonts w:ascii="Open Sans" w:eastAsia="Times New Roman" w:hAnsi="Open Sans" w:cs="Open Sans"/>
                <w:szCs w:val="20"/>
              </w:rPr>
              <w:t>2,5</w:t>
            </w:r>
          </w:p>
        </w:tc>
      </w:tr>
    </w:tbl>
    <w:p w14:paraId="4819B6AA" w14:textId="35935E7A" w:rsidR="5A5B6613" w:rsidRDefault="5A5B6613"/>
    <w:p w14:paraId="0D9221E0" w14:textId="77777777" w:rsidR="00B973B7" w:rsidRPr="00F41E7B" w:rsidRDefault="00B973B7" w:rsidP="00B973B7">
      <w:pPr>
        <w:spacing w:after="0" w:line="240" w:lineRule="auto"/>
        <w:rPr>
          <w:rFonts w:ascii="Open Sans" w:eastAsia="Calibri" w:hAnsi="Open Sans" w:cs="Open Sans"/>
          <w:sz w:val="10"/>
        </w:rPr>
      </w:pPr>
    </w:p>
    <w:p w14:paraId="3A2A454C" w14:textId="77777777" w:rsidR="00B973B7" w:rsidRDefault="00B973B7" w:rsidP="00B973B7">
      <w:pPr>
        <w:spacing w:after="0" w:line="240" w:lineRule="auto"/>
        <w:rPr>
          <w:rFonts w:ascii="Open Sans" w:eastAsia="Calibri" w:hAnsi="Open Sans" w:cs="Open Sans"/>
          <w:highlight w:val="yellow"/>
        </w:rPr>
      </w:pPr>
      <w:r w:rsidRPr="00F41E7B">
        <w:rPr>
          <w:rFonts w:ascii="Open Sans" w:eastAsia="Calibri" w:hAnsi="Open Sans" w:cs="Open Sans"/>
          <w:i/>
          <w:highlight w:val="yellow"/>
        </w:rPr>
        <w:t>Anslagene sendes til Revidert Nasjonalbudsjett for 2022</w:t>
      </w:r>
      <w:r w:rsidRPr="00F41E7B">
        <w:rPr>
          <w:rFonts w:ascii="Open Sans" w:eastAsia="Calibri" w:hAnsi="Open Sans" w:cs="Open Sans"/>
          <w:highlight w:val="yellow"/>
        </w:rPr>
        <w:t>.</w:t>
      </w:r>
    </w:p>
    <w:p w14:paraId="7947026A" w14:textId="60D581D1" w:rsidR="00A65043" w:rsidRPr="00B973B7" w:rsidRDefault="00A65043" w:rsidP="00B973B7">
      <w:pPr>
        <w:spacing w:after="160" w:line="259" w:lineRule="auto"/>
        <w:rPr>
          <w:rFonts w:ascii="Open Sans" w:eastAsia="Calibri" w:hAnsi="Open Sans" w:cs="Open Sans"/>
          <w:highlight w:val="yellow"/>
        </w:rPr>
      </w:pPr>
      <w:r>
        <w:rPr>
          <w:rFonts w:ascii="Open Sans" w:eastAsia="Calibri" w:hAnsi="Open Sans" w:cs="Open Sans"/>
          <w:sz w:val="22"/>
        </w:rPr>
        <w:br w:type="page"/>
      </w:r>
    </w:p>
    <w:p w14:paraId="28882D07" w14:textId="1FEE27AA" w:rsidR="00E56B2E" w:rsidRPr="00CD67E2" w:rsidRDefault="00C05827" w:rsidP="00CD67E2">
      <w:pPr>
        <w:spacing w:after="0" w:line="240" w:lineRule="auto"/>
        <w:rPr>
          <w:rFonts w:ascii="Open Sans" w:eastAsia="Calibri" w:hAnsi="Open Sans" w:cs="Open Sans"/>
        </w:rPr>
        <w:sectPr w:rsidR="00E56B2E" w:rsidRPr="00CD67E2" w:rsidSect="00D800CF">
          <w:headerReference w:type="first" r:id="rId26"/>
          <w:pgSz w:w="11906" w:h="16838"/>
          <w:pgMar w:top="1701" w:right="1701" w:bottom="1701" w:left="1701" w:header="680" w:footer="680" w:gutter="0"/>
          <w:cols w:space="708"/>
          <w:docGrid w:linePitch="360"/>
        </w:sectPr>
      </w:pPr>
      <w:r w:rsidRPr="00E56B2E">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58245" behindDoc="0" locked="0" layoutInCell="1" allowOverlap="1" wp14:anchorId="4BC4549F" wp14:editId="45EF3ECA">
                <wp:simplePos x="0" y="0"/>
                <wp:positionH relativeFrom="margin">
                  <wp:posOffset>-27305</wp:posOffset>
                </wp:positionH>
                <wp:positionV relativeFrom="paragraph">
                  <wp:posOffset>14605</wp:posOffset>
                </wp:positionV>
                <wp:extent cx="5789997" cy="8873089"/>
                <wp:effectExtent l="0" t="0" r="20320" b="23495"/>
                <wp:wrapNone/>
                <wp:docPr id="5" name="Tekstboks 5"/>
                <wp:cNvGraphicFramePr/>
                <a:graphic xmlns:a="http://schemas.openxmlformats.org/drawingml/2006/main">
                  <a:graphicData uri="http://schemas.microsoft.com/office/word/2010/wordprocessingShape">
                    <wps:wsp>
                      <wps:cNvSpPr txBox="1"/>
                      <wps:spPr>
                        <a:xfrm>
                          <a:off x="0" y="0"/>
                          <a:ext cx="5789997" cy="8873089"/>
                        </a:xfrm>
                        <a:prstGeom prst="rect">
                          <a:avLst/>
                        </a:prstGeom>
                        <a:solidFill>
                          <a:sysClr val="window" lastClr="FFFFFF"/>
                        </a:solidFill>
                        <a:ln w="6350">
                          <a:solidFill>
                            <a:prstClr val="black"/>
                          </a:solidFill>
                        </a:ln>
                      </wps:spPr>
                      <wps:txbx>
                        <w:txbxContent>
                          <w:p w14:paraId="2B4E9494" w14:textId="26E2D91C" w:rsidR="00C05827" w:rsidRPr="00E56B2E" w:rsidRDefault="00C05827" w:rsidP="00C05827">
                            <w:pPr>
                              <w:jc w:val="both"/>
                              <w:rPr>
                                <w:rFonts w:ascii="Open Sans" w:hAnsi="Open Sans" w:cs="Open Sans"/>
                                <w:b/>
                                <w:bCs/>
                                <w:szCs w:val="20"/>
                              </w:rPr>
                            </w:pPr>
                            <w:r w:rsidRPr="00E82E4B">
                              <w:rPr>
                                <w:rFonts w:ascii="Open Sans" w:hAnsi="Open Sans" w:cs="Open Sans"/>
                                <w:b/>
                                <w:bCs/>
                                <w:szCs w:val="20"/>
                              </w:rPr>
                              <w:t xml:space="preserve">Boks </w:t>
                            </w:r>
                            <w:r w:rsidR="00C80865">
                              <w:rPr>
                                <w:rFonts w:ascii="Open Sans" w:hAnsi="Open Sans" w:cs="Open Sans"/>
                                <w:b/>
                                <w:bCs/>
                                <w:szCs w:val="20"/>
                              </w:rPr>
                              <w:t>3</w:t>
                            </w:r>
                            <w:r w:rsidRPr="00E82E4B">
                              <w:rPr>
                                <w:rFonts w:ascii="Open Sans" w:hAnsi="Open Sans" w:cs="Open Sans"/>
                                <w:b/>
                                <w:bCs/>
                                <w:szCs w:val="20"/>
                              </w:rPr>
                              <w:t>: Krigen i Ukraina og norsk økonomi – en alternativ beregning utført av SSB</w:t>
                            </w:r>
                          </w:p>
                          <w:p w14:paraId="00A6C517" w14:textId="176A3489" w:rsidR="00C05827" w:rsidRPr="00E56B2E" w:rsidRDefault="00C05827" w:rsidP="00C05827">
                            <w:pPr>
                              <w:jc w:val="both"/>
                              <w:rPr>
                                <w:rFonts w:ascii="Open Sans" w:hAnsi="Open Sans" w:cs="Open Sans"/>
                                <w:sz w:val="18"/>
                                <w:szCs w:val="18"/>
                              </w:rPr>
                            </w:pPr>
                            <w:r w:rsidRPr="000A79B9">
                              <w:rPr>
                                <w:rFonts w:ascii="Open Sans" w:hAnsi="Open Sans" w:cs="Open Sans"/>
                                <w:sz w:val="18"/>
                                <w:szCs w:val="18"/>
                              </w:rPr>
                              <w:t>Utsiktene for internasjonal økonomi er</w:t>
                            </w:r>
                            <w:r>
                              <w:rPr>
                                <w:rFonts w:ascii="Open Sans" w:hAnsi="Open Sans" w:cs="Open Sans"/>
                                <w:sz w:val="18"/>
                                <w:szCs w:val="18"/>
                              </w:rPr>
                              <w:t xml:space="preserve"> </w:t>
                            </w:r>
                            <w:r w:rsidRPr="000A79B9">
                              <w:rPr>
                                <w:rFonts w:ascii="Open Sans" w:hAnsi="Open Sans" w:cs="Open Sans"/>
                                <w:sz w:val="18"/>
                                <w:szCs w:val="18"/>
                              </w:rPr>
                              <w:t>svært usikre som</w:t>
                            </w:r>
                            <w:r>
                              <w:rPr>
                                <w:rFonts w:ascii="Open Sans" w:hAnsi="Open Sans" w:cs="Open Sans"/>
                                <w:sz w:val="18"/>
                                <w:szCs w:val="18"/>
                              </w:rPr>
                              <w:t xml:space="preserve"> </w:t>
                            </w:r>
                            <w:r w:rsidRPr="000A79B9">
                              <w:rPr>
                                <w:rFonts w:ascii="Open Sans" w:hAnsi="Open Sans" w:cs="Open Sans"/>
                                <w:sz w:val="18"/>
                                <w:szCs w:val="18"/>
                              </w:rPr>
                              <w:t>følge av den pågående krigen i Ukraina. Dersom krigen</w:t>
                            </w:r>
                            <w:r>
                              <w:rPr>
                                <w:rFonts w:ascii="Open Sans" w:hAnsi="Open Sans" w:cs="Open Sans"/>
                                <w:sz w:val="18"/>
                                <w:szCs w:val="18"/>
                              </w:rPr>
                              <w:t xml:space="preserve"> </w:t>
                            </w:r>
                            <w:r w:rsidRPr="000A79B9">
                              <w:rPr>
                                <w:rFonts w:ascii="Open Sans" w:hAnsi="Open Sans" w:cs="Open Sans"/>
                                <w:sz w:val="18"/>
                                <w:szCs w:val="18"/>
                              </w:rPr>
                              <w:t>skulle eskalere og utvikle seg til en mer langvarig og</w:t>
                            </w:r>
                            <w:r>
                              <w:rPr>
                                <w:rFonts w:ascii="Open Sans" w:hAnsi="Open Sans" w:cs="Open Sans"/>
                                <w:sz w:val="18"/>
                                <w:szCs w:val="18"/>
                              </w:rPr>
                              <w:t xml:space="preserve"> </w:t>
                            </w:r>
                            <w:r w:rsidRPr="000A79B9">
                              <w:rPr>
                                <w:rFonts w:ascii="Open Sans" w:hAnsi="Open Sans" w:cs="Open Sans"/>
                                <w:sz w:val="18"/>
                                <w:szCs w:val="18"/>
                              </w:rPr>
                              <w:t>alvorlig konflikt i Europa</w:t>
                            </w:r>
                            <w:r>
                              <w:rPr>
                                <w:rFonts w:ascii="Open Sans" w:hAnsi="Open Sans" w:cs="Open Sans"/>
                                <w:sz w:val="18"/>
                                <w:szCs w:val="18"/>
                              </w:rPr>
                              <w:t>,</w:t>
                            </w:r>
                            <w:r w:rsidRPr="000A79B9">
                              <w:rPr>
                                <w:rFonts w:ascii="Open Sans" w:hAnsi="Open Sans" w:cs="Open Sans"/>
                                <w:sz w:val="18"/>
                                <w:szCs w:val="18"/>
                              </w:rPr>
                              <w:t xml:space="preserve"> kan det gå </w:t>
                            </w:r>
                            <w:r>
                              <w:rPr>
                                <w:rFonts w:ascii="Open Sans" w:hAnsi="Open Sans" w:cs="Open Sans"/>
                                <w:sz w:val="18"/>
                                <w:szCs w:val="18"/>
                              </w:rPr>
                              <w:t xml:space="preserve">mye </w:t>
                            </w:r>
                            <w:r w:rsidRPr="000A79B9">
                              <w:rPr>
                                <w:rFonts w:ascii="Open Sans" w:hAnsi="Open Sans" w:cs="Open Sans"/>
                                <w:sz w:val="18"/>
                                <w:szCs w:val="18"/>
                              </w:rPr>
                              <w:t>verre i internasjonal</w:t>
                            </w:r>
                            <w:r>
                              <w:rPr>
                                <w:rFonts w:ascii="Open Sans" w:hAnsi="Open Sans" w:cs="Open Sans"/>
                                <w:sz w:val="18"/>
                                <w:szCs w:val="18"/>
                              </w:rPr>
                              <w:t xml:space="preserve"> </w:t>
                            </w:r>
                            <w:r w:rsidRPr="000A79B9">
                              <w:rPr>
                                <w:rFonts w:ascii="Open Sans" w:hAnsi="Open Sans" w:cs="Open Sans"/>
                                <w:sz w:val="18"/>
                                <w:szCs w:val="18"/>
                              </w:rPr>
                              <w:t xml:space="preserve">økonomi enn det våre prognoser viser. </w:t>
                            </w:r>
                            <w:r>
                              <w:rPr>
                                <w:rFonts w:ascii="Open Sans" w:hAnsi="Open Sans" w:cs="Open Sans"/>
                                <w:sz w:val="18"/>
                                <w:szCs w:val="18"/>
                              </w:rPr>
                              <w:t>SSB</w:t>
                            </w:r>
                            <w:r w:rsidRPr="000A79B9">
                              <w:rPr>
                                <w:rFonts w:ascii="Open Sans" w:hAnsi="Open Sans" w:cs="Open Sans"/>
                                <w:sz w:val="18"/>
                                <w:szCs w:val="18"/>
                              </w:rPr>
                              <w:t xml:space="preserve"> har</w:t>
                            </w:r>
                            <w:r>
                              <w:rPr>
                                <w:rFonts w:ascii="Open Sans" w:hAnsi="Open Sans" w:cs="Open Sans"/>
                                <w:sz w:val="18"/>
                                <w:szCs w:val="18"/>
                              </w:rPr>
                              <w:t xml:space="preserve"> i Konjunkturtendensene 1/2022</w:t>
                            </w:r>
                            <w:r w:rsidRPr="000A79B9">
                              <w:rPr>
                                <w:rFonts w:ascii="Open Sans" w:hAnsi="Open Sans" w:cs="Open Sans"/>
                                <w:sz w:val="18"/>
                                <w:szCs w:val="18"/>
                              </w:rPr>
                              <w:t xml:space="preserve"> konstruert en alternativ beregning som illustrerer hvordan</w:t>
                            </w:r>
                            <w:r>
                              <w:rPr>
                                <w:rFonts w:ascii="Open Sans" w:hAnsi="Open Sans" w:cs="Open Sans"/>
                                <w:sz w:val="18"/>
                                <w:szCs w:val="18"/>
                              </w:rPr>
                              <w:t xml:space="preserve"> </w:t>
                            </w:r>
                            <w:r w:rsidRPr="000A79B9">
                              <w:rPr>
                                <w:rFonts w:ascii="Open Sans" w:hAnsi="Open Sans" w:cs="Open Sans"/>
                                <w:sz w:val="18"/>
                                <w:szCs w:val="18"/>
                              </w:rPr>
                              <w:t>utviklingen i norsk økonomi vil kunne bli</w:t>
                            </w:r>
                            <w:r w:rsidR="00AE7F51">
                              <w:rPr>
                                <w:rFonts w:ascii="Open Sans" w:hAnsi="Open Sans" w:cs="Open Sans"/>
                                <w:sz w:val="18"/>
                                <w:szCs w:val="18"/>
                              </w:rPr>
                              <w:t>,</w:t>
                            </w:r>
                            <w:r w:rsidRPr="000A79B9">
                              <w:rPr>
                                <w:rFonts w:ascii="Open Sans" w:hAnsi="Open Sans" w:cs="Open Sans"/>
                                <w:sz w:val="18"/>
                                <w:szCs w:val="18"/>
                              </w:rPr>
                              <w:t xml:space="preserve"> med mer</w:t>
                            </w:r>
                            <w:r>
                              <w:rPr>
                                <w:rFonts w:ascii="Open Sans" w:hAnsi="Open Sans" w:cs="Open Sans"/>
                                <w:sz w:val="18"/>
                                <w:szCs w:val="18"/>
                              </w:rPr>
                              <w:t xml:space="preserve"> </w:t>
                            </w:r>
                            <w:r w:rsidRPr="000A79B9">
                              <w:rPr>
                                <w:rFonts w:ascii="Open Sans" w:hAnsi="Open Sans" w:cs="Open Sans"/>
                                <w:sz w:val="18"/>
                                <w:szCs w:val="18"/>
                              </w:rPr>
                              <w:t>dystre forutsetninger for internasjonal økonomi.</w:t>
                            </w:r>
                          </w:p>
                          <w:p w14:paraId="18E3B63C" w14:textId="7A8209BD" w:rsidR="00C05827" w:rsidRPr="00E56B2E" w:rsidRDefault="00C05827" w:rsidP="00C05827">
                            <w:pPr>
                              <w:jc w:val="both"/>
                              <w:rPr>
                                <w:rFonts w:ascii="Open Sans" w:hAnsi="Open Sans" w:cs="Open Sans"/>
                                <w:sz w:val="18"/>
                                <w:szCs w:val="18"/>
                              </w:rPr>
                            </w:pPr>
                            <w:r w:rsidRPr="000A79B9">
                              <w:rPr>
                                <w:rFonts w:ascii="Open Sans" w:hAnsi="Open Sans" w:cs="Open Sans"/>
                                <w:sz w:val="18"/>
                                <w:szCs w:val="18"/>
                              </w:rPr>
                              <w:t>Alternativberegningen forutsetter, i tråd med alternativscenariet</w:t>
                            </w:r>
                            <w:r>
                              <w:rPr>
                                <w:rFonts w:ascii="Open Sans" w:hAnsi="Open Sans" w:cs="Open Sans"/>
                                <w:sz w:val="18"/>
                                <w:szCs w:val="18"/>
                              </w:rPr>
                              <w:t xml:space="preserve"> </w:t>
                            </w:r>
                            <w:r w:rsidRPr="000A79B9">
                              <w:rPr>
                                <w:rFonts w:ascii="Open Sans" w:hAnsi="Open Sans" w:cs="Open Sans"/>
                                <w:sz w:val="18"/>
                                <w:szCs w:val="18"/>
                              </w:rPr>
                              <w:t>utarbeidet av den europeiske</w:t>
                            </w:r>
                            <w:r>
                              <w:rPr>
                                <w:rFonts w:ascii="Open Sans" w:hAnsi="Open Sans" w:cs="Open Sans"/>
                                <w:sz w:val="18"/>
                                <w:szCs w:val="18"/>
                              </w:rPr>
                              <w:t xml:space="preserve"> </w:t>
                            </w:r>
                            <w:r w:rsidRPr="000A79B9">
                              <w:rPr>
                                <w:rFonts w:ascii="Open Sans" w:hAnsi="Open Sans" w:cs="Open Sans"/>
                                <w:sz w:val="18"/>
                                <w:szCs w:val="18"/>
                              </w:rPr>
                              <w:t>sentralbanken</w:t>
                            </w:r>
                            <w:r>
                              <w:rPr>
                                <w:rFonts w:ascii="Open Sans" w:hAnsi="Open Sans" w:cs="Open Sans"/>
                                <w:sz w:val="18"/>
                                <w:szCs w:val="18"/>
                              </w:rPr>
                              <w:t xml:space="preserve">, </w:t>
                            </w:r>
                            <w:r w:rsidRPr="000A79B9">
                              <w:rPr>
                                <w:rFonts w:ascii="Open Sans" w:hAnsi="Open Sans" w:cs="Open Sans"/>
                                <w:sz w:val="18"/>
                                <w:szCs w:val="18"/>
                              </w:rPr>
                              <w:t>strengere sanksjoner mot Russland som vil gi</w:t>
                            </w:r>
                            <w:r>
                              <w:rPr>
                                <w:rFonts w:ascii="Open Sans" w:hAnsi="Open Sans" w:cs="Open Sans"/>
                                <w:sz w:val="18"/>
                                <w:szCs w:val="18"/>
                              </w:rPr>
                              <w:t xml:space="preserve"> </w:t>
                            </w:r>
                            <w:r w:rsidRPr="000A79B9">
                              <w:rPr>
                                <w:rFonts w:ascii="Open Sans" w:hAnsi="Open Sans" w:cs="Open Sans"/>
                                <w:sz w:val="18"/>
                                <w:szCs w:val="18"/>
                              </w:rPr>
                              <w:t>ytterligere forstyrrelser i globale forsyningskjeder. Selv</w:t>
                            </w:r>
                            <w:r>
                              <w:rPr>
                                <w:rFonts w:ascii="Open Sans" w:hAnsi="Open Sans" w:cs="Open Sans"/>
                                <w:sz w:val="18"/>
                                <w:szCs w:val="18"/>
                              </w:rPr>
                              <w:t xml:space="preserve"> </w:t>
                            </w:r>
                            <w:r w:rsidRPr="000A79B9">
                              <w:rPr>
                                <w:rFonts w:ascii="Open Sans" w:hAnsi="Open Sans" w:cs="Open Sans"/>
                                <w:sz w:val="18"/>
                                <w:szCs w:val="18"/>
                              </w:rPr>
                              <w:t xml:space="preserve">om direkte handel med Russland står for en </w:t>
                            </w:r>
                            <w:r w:rsidR="00C75D38">
                              <w:rPr>
                                <w:rFonts w:ascii="Open Sans" w:hAnsi="Open Sans" w:cs="Open Sans"/>
                                <w:sz w:val="18"/>
                                <w:szCs w:val="18"/>
                              </w:rPr>
                              <w:t xml:space="preserve">liten </w:t>
                            </w:r>
                            <w:r w:rsidRPr="000A79B9">
                              <w:rPr>
                                <w:rFonts w:ascii="Open Sans" w:hAnsi="Open Sans" w:cs="Open Sans"/>
                                <w:sz w:val="18"/>
                                <w:szCs w:val="18"/>
                              </w:rPr>
                              <w:t>del av euroområdets utenlandske etterspørsel, vil</w:t>
                            </w:r>
                            <w:r>
                              <w:rPr>
                                <w:rFonts w:ascii="Open Sans" w:hAnsi="Open Sans" w:cs="Open Sans"/>
                                <w:sz w:val="18"/>
                                <w:szCs w:val="18"/>
                              </w:rPr>
                              <w:t xml:space="preserve"> </w:t>
                            </w:r>
                            <w:r w:rsidRPr="000A79B9">
                              <w:rPr>
                                <w:rFonts w:ascii="Open Sans" w:hAnsi="Open Sans" w:cs="Open Sans"/>
                                <w:sz w:val="18"/>
                                <w:szCs w:val="18"/>
                              </w:rPr>
                              <w:t>ringvirkningene til den globale økonomien – særlig via</w:t>
                            </w:r>
                            <w:r>
                              <w:rPr>
                                <w:rFonts w:ascii="Open Sans" w:hAnsi="Open Sans" w:cs="Open Sans"/>
                                <w:sz w:val="18"/>
                                <w:szCs w:val="18"/>
                              </w:rPr>
                              <w:t xml:space="preserve"> </w:t>
                            </w:r>
                            <w:r w:rsidRPr="000A79B9">
                              <w:rPr>
                                <w:rFonts w:ascii="Open Sans" w:hAnsi="Open Sans" w:cs="Open Sans"/>
                                <w:sz w:val="18"/>
                                <w:szCs w:val="18"/>
                              </w:rPr>
                              <w:t>land med sterkere handelsforbindelser med Russland</w:t>
                            </w:r>
                            <w:r>
                              <w:rPr>
                                <w:rFonts w:ascii="Open Sans" w:hAnsi="Open Sans" w:cs="Open Sans"/>
                                <w:sz w:val="18"/>
                                <w:szCs w:val="18"/>
                              </w:rPr>
                              <w:t xml:space="preserve"> </w:t>
                            </w:r>
                            <w:r w:rsidRPr="000A79B9">
                              <w:rPr>
                                <w:rFonts w:ascii="Open Sans" w:hAnsi="Open Sans" w:cs="Open Sans"/>
                                <w:sz w:val="18"/>
                                <w:szCs w:val="18"/>
                              </w:rPr>
                              <w:t>– svekke aktiviteten i euroområdet som helhet.</w:t>
                            </w:r>
                            <w:r>
                              <w:rPr>
                                <w:rFonts w:ascii="Open Sans" w:hAnsi="Open Sans" w:cs="Open Sans"/>
                                <w:sz w:val="18"/>
                                <w:szCs w:val="18"/>
                              </w:rPr>
                              <w:t xml:space="preserve"> </w:t>
                            </w:r>
                            <w:r w:rsidRPr="000A79B9">
                              <w:rPr>
                                <w:rFonts w:ascii="Open Sans" w:hAnsi="Open Sans" w:cs="Open Sans"/>
                                <w:sz w:val="18"/>
                                <w:szCs w:val="18"/>
                              </w:rPr>
                              <w:t>Videre antar alternativberegningen noe høyere olje- og</w:t>
                            </w:r>
                            <w:r>
                              <w:rPr>
                                <w:rFonts w:ascii="Open Sans" w:hAnsi="Open Sans" w:cs="Open Sans"/>
                                <w:sz w:val="18"/>
                                <w:szCs w:val="18"/>
                              </w:rPr>
                              <w:t xml:space="preserve"> </w:t>
                            </w:r>
                            <w:r w:rsidRPr="000A79B9">
                              <w:rPr>
                                <w:rFonts w:ascii="Open Sans" w:hAnsi="Open Sans" w:cs="Open Sans"/>
                                <w:sz w:val="18"/>
                                <w:szCs w:val="18"/>
                              </w:rPr>
                              <w:t>gasspriser som følge av økt usikkerhet i markedene og</w:t>
                            </w:r>
                            <w:r>
                              <w:rPr>
                                <w:rFonts w:ascii="Open Sans" w:hAnsi="Open Sans" w:cs="Open Sans"/>
                                <w:sz w:val="18"/>
                                <w:szCs w:val="18"/>
                              </w:rPr>
                              <w:t xml:space="preserve"> </w:t>
                            </w:r>
                            <w:r w:rsidRPr="000A79B9">
                              <w:rPr>
                                <w:rFonts w:ascii="Open Sans" w:hAnsi="Open Sans" w:cs="Open Sans"/>
                                <w:sz w:val="18"/>
                                <w:szCs w:val="18"/>
                              </w:rPr>
                              <w:t>et mindre kutt i russisk gassforsyning til Europa som</w:t>
                            </w:r>
                            <w:r>
                              <w:rPr>
                                <w:rFonts w:ascii="Open Sans" w:hAnsi="Open Sans" w:cs="Open Sans"/>
                                <w:sz w:val="18"/>
                                <w:szCs w:val="18"/>
                              </w:rPr>
                              <w:t xml:space="preserve"> </w:t>
                            </w:r>
                            <w:r w:rsidRPr="000A79B9">
                              <w:rPr>
                                <w:rFonts w:ascii="Open Sans" w:hAnsi="Open Sans" w:cs="Open Sans"/>
                                <w:sz w:val="18"/>
                                <w:szCs w:val="18"/>
                              </w:rPr>
                              <w:t>bare delvis kan kompenseres for ved å bruke andre</w:t>
                            </w:r>
                            <w:r>
                              <w:rPr>
                                <w:rFonts w:ascii="Open Sans" w:hAnsi="Open Sans" w:cs="Open Sans"/>
                                <w:sz w:val="18"/>
                                <w:szCs w:val="18"/>
                              </w:rPr>
                              <w:t xml:space="preserve"> </w:t>
                            </w:r>
                            <w:r w:rsidRPr="000A79B9">
                              <w:rPr>
                                <w:rFonts w:ascii="Open Sans" w:hAnsi="Open Sans" w:cs="Open Sans"/>
                                <w:sz w:val="18"/>
                                <w:szCs w:val="18"/>
                              </w:rPr>
                              <w:t>energikilder. Høyere energipriser vil forplante seg i</w:t>
                            </w:r>
                            <w:r>
                              <w:rPr>
                                <w:rFonts w:ascii="Open Sans" w:hAnsi="Open Sans" w:cs="Open Sans"/>
                                <w:sz w:val="18"/>
                                <w:szCs w:val="18"/>
                              </w:rPr>
                              <w:t xml:space="preserve"> </w:t>
                            </w:r>
                            <w:r w:rsidRPr="000A79B9">
                              <w:rPr>
                                <w:rFonts w:ascii="Open Sans" w:hAnsi="Open Sans" w:cs="Open Sans"/>
                                <w:sz w:val="18"/>
                                <w:szCs w:val="18"/>
                              </w:rPr>
                              <w:t>økonomiene og presse inflasjonen ytterligere opp i</w:t>
                            </w:r>
                            <w:r>
                              <w:rPr>
                                <w:rFonts w:ascii="Open Sans" w:hAnsi="Open Sans" w:cs="Open Sans"/>
                                <w:sz w:val="18"/>
                                <w:szCs w:val="18"/>
                              </w:rPr>
                              <w:t xml:space="preserve"> </w:t>
                            </w:r>
                            <w:r w:rsidRPr="000A79B9">
                              <w:rPr>
                                <w:rFonts w:ascii="Open Sans" w:hAnsi="Open Sans" w:cs="Open Sans"/>
                                <w:sz w:val="18"/>
                                <w:szCs w:val="18"/>
                              </w:rPr>
                              <w:t>euroområdet. Samtidig legger alternativberegningen til</w:t>
                            </w:r>
                            <w:r>
                              <w:rPr>
                                <w:rFonts w:ascii="Open Sans" w:hAnsi="Open Sans" w:cs="Open Sans"/>
                                <w:sz w:val="18"/>
                                <w:szCs w:val="18"/>
                              </w:rPr>
                              <w:t xml:space="preserve"> </w:t>
                            </w:r>
                            <w:r w:rsidRPr="000A79B9">
                              <w:rPr>
                                <w:rFonts w:ascii="Open Sans" w:hAnsi="Open Sans" w:cs="Open Sans"/>
                                <w:sz w:val="18"/>
                                <w:szCs w:val="18"/>
                              </w:rPr>
                              <w:t>grunn en brattere og mer vedvarende økning i råvareprisene</w:t>
                            </w:r>
                            <w:r>
                              <w:rPr>
                                <w:rFonts w:ascii="Open Sans" w:hAnsi="Open Sans" w:cs="Open Sans"/>
                                <w:sz w:val="18"/>
                                <w:szCs w:val="18"/>
                              </w:rPr>
                              <w:t xml:space="preserve"> </w:t>
                            </w:r>
                            <w:r w:rsidRPr="000A79B9">
                              <w:rPr>
                                <w:rFonts w:ascii="Open Sans" w:hAnsi="Open Sans" w:cs="Open Sans"/>
                                <w:sz w:val="18"/>
                                <w:szCs w:val="18"/>
                              </w:rPr>
                              <w:t>som vil forsterke andrerundeeffektene på</w:t>
                            </w:r>
                            <w:r>
                              <w:rPr>
                                <w:rFonts w:ascii="Open Sans" w:hAnsi="Open Sans" w:cs="Open Sans"/>
                                <w:sz w:val="18"/>
                                <w:szCs w:val="18"/>
                              </w:rPr>
                              <w:t xml:space="preserve"> </w:t>
                            </w:r>
                            <w:r w:rsidRPr="000A79B9">
                              <w:rPr>
                                <w:rFonts w:ascii="Open Sans" w:hAnsi="Open Sans" w:cs="Open Sans"/>
                                <w:sz w:val="18"/>
                                <w:szCs w:val="18"/>
                              </w:rPr>
                              <w:t>inflasjonen. Alternativberegningen forutsetter også at</w:t>
                            </w:r>
                            <w:r>
                              <w:rPr>
                                <w:rFonts w:ascii="Open Sans" w:hAnsi="Open Sans" w:cs="Open Sans"/>
                                <w:sz w:val="18"/>
                                <w:szCs w:val="18"/>
                              </w:rPr>
                              <w:t xml:space="preserve"> </w:t>
                            </w:r>
                            <w:r w:rsidRPr="000A79B9">
                              <w:rPr>
                                <w:rFonts w:ascii="Open Sans" w:hAnsi="Open Sans" w:cs="Open Sans"/>
                                <w:sz w:val="18"/>
                                <w:szCs w:val="18"/>
                              </w:rPr>
                              <w:t>strengere sanksjoner mot Russland, sammen med mer</w:t>
                            </w:r>
                            <w:r>
                              <w:rPr>
                                <w:rFonts w:ascii="Open Sans" w:hAnsi="Open Sans" w:cs="Open Sans"/>
                                <w:sz w:val="18"/>
                                <w:szCs w:val="18"/>
                              </w:rPr>
                              <w:t xml:space="preserve"> </w:t>
                            </w:r>
                            <w:r w:rsidRPr="000A79B9">
                              <w:rPr>
                                <w:rFonts w:ascii="Open Sans" w:hAnsi="Open Sans" w:cs="Open Sans"/>
                                <w:sz w:val="18"/>
                                <w:szCs w:val="18"/>
                              </w:rPr>
                              <w:t>vedvarende geopolitiske spenninger, vil føre til en mer</w:t>
                            </w:r>
                            <w:r>
                              <w:rPr>
                                <w:rFonts w:ascii="Open Sans" w:hAnsi="Open Sans" w:cs="Open Sans"/>
                                <w:sz w:val="18"/>
                                <w:szCs w:val="18"/>
                              </w:rPr>
                              <w:t xml:space="preserve"> </w:t>
                            </w:r>
                            <w:r w:rsidRPr="000A79B9">
                              <w:rPr>
                                <w:rFonts w:ascii="Open Sans" w:hAnsi="Open Sans" w:cs="Open Sans"/>
                                <w:sz w:val="18"/>
                                <w:szCs w:val="18"/>
                              </w:rPr>
                              <w:t>alvorlig og langvarig økning i den globale usikkerheten</w:t>
                            </w:r>
                            <w:r>
                              <w:rPr>
                                <w:rFonts w:ascii="Open Sans" w:hAnsi="Open Sans" w:cs="Open Sans"/>
                                <w:sz w:val="18"/>
                                <w:szCs w:val="18"/>
                              </w:rPr>
                              <w:t xml:space="preserve"> </w:t>
                            </w:r>
                            <w:r w:rsidRPr="000A79B9">
                              <w:rPr>
                                <w:rFonts w:ascii="Open Sans" w:hAnsi="Open Sans" w:cs="Open Sans"/>
                                <w:sz w:val="18"/>
                                <w:szCs w:val="18"/>
                              </w:rPr>
                              <w:t>knyttet til å investere i næringsvirksomhet. Økt usikkerhet</w:t>
                            </w:r>
                            <w:r>
                              <w:rPr>
                                <w:rFonts w:ascii="Open Sans" w:hAnsi="Open Sans" w:cs="Open Sans"/>
                                <w:sz w:val="18"/>
                                <w:szCs w:val="18"/>
                              </w:rPr>
                              <w:t xml:space="preserve"> </w:t>
                            </w:r>
                            <w:r w:rsidRPr="000A79B9">
                              <w:rPr>
                                <w:rFonts w:ascii="Open Sans" w:hAnsi="Open Sans" w:cs="Open Sans"/>
                                <w:sz w:val="18"/>
                                <w:szCs w:val="18"/>
                              </w:rPr>
                              <w:t>vil kunne gi økte risikopremier i finansmarkedene</w:t>
                            </w:r>
                            <w:r>
                              <w:rPr>
                                <w:rFonts w:ascii="Open Sans" w:hAnsi="Open Sans" w:cs="Open Sans"/>
                                <w:sz w:val="18"/>
                                <w:szCs w:val="18"/>
                              </w:rPr>
                              <w:t xml:space="preserve"> </w:t>
                            </w:r>
                            <w:r w:rsidRPr="000A79B9">
                              <w:rPr>
                                <w:rFonts w:ascii="Open Sans" w:hAnsi="Open Sans" w:cs="Open Sans"/>
                                <w:sz w:val="18"/>
                                <w:szCs w:val="18"/>
                              </w:rPr>
                              <w:t>som igjen vil kunne forsterke de negative effektene på</w:t>
                            </w:r>
                            <w:r>
                              <w:rPr>
                                <w:rFonts w:ascii="Open Sans" w:hAnsi="Open Sans" w:cs="Open Sans"/>
                                <w:sz w:val="18"/>
                                <w:szCs w:val="18"/>
                              </w:rPr>
                              <w:t xml:space="preserve"> </w:t>
                            </w:r>
                            <w:r w:rsidRPr="000A79B9">
                              <w:rPr>
                                <w:rFonts w:ascii="Open Sans" w:hAnsi="Open Sans" w:cs="Open Sans"/>
                                <w:sz w:val="18"/>
                                <w:szCs w:val="18"/>
                              </w:rPr>
                              <w:t>økonomien gjennom lavere investeringer.</w:t>
                            </w:r>
                          </w:p>
                          <w:p w14:paraId="72D2DC15" w14:textId="77777777" w:rsidR="00C05827" w:rsidRPr="0014433C" w:rsidRDefault="00C05827" w:rsidP="00C05827">
                            <w:pPr>
                              <w:jc w:val="both"/>
                              <w:rPr>
                                <w:rFonts w:ascii="Open Sans" w:hAnsi="Open Sans" w:cs="Open Sans"/>
                                <w:b/>
                                <w:bCs/>
                                <w:sz w:val="16"/>
                                <w:szCs w:val="16"/>
                              </w:rPr>
                            </w:pPr>
                            <w:r w:rsidRPr="0014433C">
                              <w:rPr>
                                <w:rFonts w:ascii="Open Sans" w:hAnsi="Open Sans" w:cs="Open Sans"/>
                                <w:b/>
                                <w:bCs/>
                                <w:sz w:val="16"/>
                                <w:szCs w:val="16"/>
                              </w:rPr>
                              <w:t>Virkningstabellen: Makroøkonomiske hovedstørrelser, 2022-2024. Prosentvise avvik fra prognosebanen der ikke annet framgår</w:t>
                            </w:r>
                          </w:p>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1556"/>
                              <w:gridCol w:w="1415"/>
                              <w:gridCol w:w="1480"/>
                            </w:tblGrid>
                            <w:tr w:rsidR="00C05827" w:rsidRPr="0014433C" w14:paraId="3D038D42" w14:textId="77777777" w:rsidTr="003462C2">
                              <w:tc>
                                <w:tcPr>
                                  <w:tcW w:w="4390" w:type="dxa"/>
                                  <w:tcBorders>
                                    <w:top w:val="single" w:sz="4" w:space="0" w:color="auto"/>
                                    <w:bottom w:val="single" w:sz="4" w:space="0" w:color="auto"/>
                                  </w:tcBorders>
                                </w:tcPr>
                                <w:p w14:paraId="1E52177E" w14:textId="77777777" w:rsidR="00C05827" w:rsidRPr="0014433C" w:rsidRDefault="00C05827" w:rsidP="00D11D67">
                                  <w:pPr>
                                    <w:spacing w:line="240" w:lineRule="auto"/>
                                    <w:rPr>
                                      <w:rFonts w:ascii="Open Sans" w:hAnsi="Open Sans" w:cs="Open Sans"/>
                                      <w:sz w:val="16"/>
                                      <w:szCs w:val="16"/>
                                    </w:rPr>
                                  </w:pPr>
                                </w:p>
                              </w:tc>
                              <w:tc>
                                <w:tcPr>
                                  <w:tcW w:w="1559" w:type="dxa"/>
                                  <w:tcBorders>
                                    <w:top w:val="single" w:sz="4" w:space="0" w:color="auto"/>
                                    <w:bottom w:val="single" w:sz="4" w:space="0" w:color="auto"/>
                                  </w:tcBorders>
                                </w:tcPr>
                                <w:p w14:paraId="4E5BF066"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2022</w:t>
                                  </w:r>
                                </w:p>
                              </w:tc>
                              <w:tc>
                                <w:tcPr>
                                  <w:tcW w:w="1417" w:type="dxa"/>
                                  <w:tcBorders>
                                    <w:top w:val="single" w:sz="4" w:space="0" w:color="auto"/>
                                    <w:bottom w:val="single" w:sz="4" w:space="0" w:color="auto"/>
                                  </w:tcBorders>
                                </w:tcPr>
                                <w:p w14:paraId="382258AA"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2023</w:t>
                                  </w:r>
                                </w:p>
                              </w:tc>
                              <w:tc>
                                <w:tcPr>
                                  <w:tcW w:w="1482" w:type="dxa"/>
                                  <w:tcBorders>
                                    <w:top w:val="single" w:sz="4" w:space="0" w:color="auto"/>
                                    <w:bottom w:val="single" w:sz="4" w:space="0" w:color="auto"/>
                                  </w:tcBorders>
                                </w:tcPr>
                                <w:p w14:paraId="18B042E8"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2024</w:t>
                                  </w:r>
                                </w:p>
                              </w:tc>
                            </w:tr>
                            <w:tr w:rsidR="00C05827" w:rsidRPr="0014433C" w14:paraId="3F8CA845" w14:textId="77777777" w:rsidTr="00E56B2E">
                              <w:tc>
                                <w:tcPr>
                                  <w:tcW w:w="4390" w:type="dxa"/>
                                  <w:tcBorders>
                                    <w:top w:val="single" w:sz="4" w:space="0" w:color="auto"/>
                                  </w:tcBorders>
                                  <w:shd w:val="clear" w:color="auto" w:fill="D9D9D9"/>
                                </w:tcPr>
                                <w:p w14:paraId="4C4EE1AF"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BNP Fastlands-Norge</w:t>
                                  </w:r>
                                </w:p>
                              </w:tc>
                              <w:tc>
                                <w:tcPr>
                                  <w:tcW w:w="1559" w:type="dxa"/>
                                  <w:tcBorders>
                                    <w:top w:val="single" w:sz="4" w:space="0" w:color="auto"/>
                                  </w:tcBorders>
                                  <w:shd w:val="clear" w:color="auto" w:fill="D9D9D9"/>
                                </w:tcPr>
                                <w:p w14:paraId="0934E612"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-0,5</w:t>
                                  </w:r>
                                </w:p>
                              </w:tc>
                              <w:tc>
                                <w:tcPr>
                                  <w:tcW w:w="1417" w:type="dxa"/>
                                  <w:tcBorders>
                                    <w:top w:val="single" w:sz="4" w:space="0" w:color="auto"/>
                                  </w:tcBorders>
                                  <w:shd w:val="clear" w:color="auto" w:fill="D9D9D9"/>
                                </w:tcPr>
                                <w:p w14:paraId="4D6AFECE"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-0,7</w:t>
                                  </w:r>
                                </w:p>
                              </w:tc>
                              <w:tc>
                                <w:tcPr>
                                  <w:tcW w:w="1482" w:type="dxa"/>
                                  <w:tcBorders>
                                    <w:top w:val="single" w:sz="4" w:space="0" w:color="auto"/>
                                  </w:tcBorders>
                                  <w:shd w:val="clear" w:color="auto" w:fill="D9D9D9"/>
                                </w:tcPr>
                                <w:p w14:paraId="1CBDFC81"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-0,5</w:t>
                                  </w:r>
                                </w:p>
                              </w:tc>
                            </w:tr>
                            <w:tr w:rsidR="00C05827" w:rsidRPr="0014433C" w14:paraId="13DA7268" w14:textId="77777777" w:rsidTr="003462C2">
                              <w:tc>
                                <w:tcPr>
                                  <w:tcW w:w="4390" w:type="dxa"/>
                                </w:tcPr>
                                <w:p w14:paraId="12203CE1"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Eksport – tradisjonelle varer</w:t>
                                  </w:r>
                                </w:p>
                              </w:tc>
                              <w:tc>
                                <w:tcPr>
                                  <w:tcW w:w="1559" w:type="dxa"/>
                                </w:tcPr>
                                <w:p w14:paraId="79CC4718"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-1,1</w:t>
                                  </w:r>
                                </w:p>
                              </w:tc>
                              <w:tc>
                                <w:tcPr>
                                  <w:tcW w:w="1417" w:type="dxa"/>
                                </w:tcPr>
                                <w:p w14:paraId="2CD06F3D"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82" w:type="dxa"/>
                                </w:tcPr>
                                <w:p w14:paraId="53483307"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5446B39D" w14:textId="77777777" w:rsidTr="00E56B2E">
                              <w:tc>
                                <w:tcPr>
                                  <w:tcW w:w="4390" w:type="dxa"/>
                                  <w:shd w:val="clear" w:color="auto" w:fill="D9D9D9"/>
                                </w:tcPr>
                                <w:p w14:paraId="3E63B19C"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Arbeidsledighet </w:t>
                                  </w:r>
                                  <w:r w:rsidRPr="0014433C">
                                    <w:rPr>
                                      <w:rFonts w:ascii="Open Sans" w:hAnsi="Open Sans" w:cs="Open Sans"/>
                                      <w:sz w:val="16"/>
                                      <w:szCs w:val="16"/>
                                      <w:vertAlign w:val="superscript"/>
                                    </w:rPr>
                                    <w:t>1</w:t>
                                  </w:r>
                                </w:p>
                              </w:tc>
                              <w:tc>
                                <w:tcPr>
                                  <w:tcW w:w="1559" w:type="dxa"/>
                                  <w:shd w:val="clear" w:color="auto" w:fill="D9D9D9"/>
                                </w:tcPr>
                                <w:p w14:paraId="11A17F7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17" w:type="dxa"/>
                                  <w:shd w:val="clear" w:color="auto" w:fill="D9D9D9"/>
                                </w:tcPr>
                                <w:p w14:paraId="7BA4EC1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0102676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0,0</w:t>
                                  </w:r>
                                </w:p>
                              </w:tc>
                            </w:tr>
                            <w:tr w:rsidR="00C05827" w:rsidRPr="0014433C" w14:paraId="2316EE48" w14:textId="77777777" w:rsidTr="003462C2">
                              <w:tc>
                                <w:tcPr>
                                  <w:tcW w:w="4390" w:type="dxa"/>
                                </w:tcPr>
                                <w:p w14:paraId="376560E8"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Konsum i husholdninger mv.</w:t>
                                  </w:r>
                                </w:p>
                              </w:tc>
                              <w:tc>
                                <w:tcPr>
                                  <w:tcW w:w="1559" w:type="dxa"/>
                                </w:tcPr>
                                <w:p w14:paraId="4743858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17" w:type="dxa"/>
                                </w:tcPr>
                                <w:p w14:paraId="0466D022"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82" w:type="dxa"/>
                                </w:tcPr>
                                <w:p w14:paraId="774B6963"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3E3ED325" w14:textId="77777777" w:rsidTr="00E56B2E">
                              <w:tc>
                                <w:tcPr>
                                  <w:tcW w:w="4390" w:type="dxa"/>
                                  <w:shd w:val="clear" w:color="auto" w:fill="D9D9D9"/>
                                </w:tcPr>
                                <w:p w14:paraId="41C0089D"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Næringsinvesteringer</w:t>
                                  </w:r>
                                </w:p>
                              </w:tc>
                              <w:tc>
                                <w:tcPr>
                                  <w:tcW w:w="1559" w:type="dxa"/>
                                  <w:shd w:val="clear" w:color="auto" w:fill="D9D9D9"/>
                                </w:tcPr>
                                <w:p w14:paraId="7F173B4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-4,9</w:t>
                                  </w:r>
                                </w:p>
                              </w:tc>
                              <w:tc>
                                <w:tcPr>
                                  <w:tcW w:w="1417" w:type="dxa"/>
                                  <w:shd w:val="clear" w:color="auto" w:fill="D9D9D9"/>
                                </w:tcPr>
                                <w:p w14:paraId="394B4275"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-7,9</w:t>
                                  </w:r>
                                </w:p>
                              </w:tc>
                              <w:tc>
                                <w:tcPr>
                                  <w:tcW w:w="1482" w:type="dxa"/>
                                  <w:shd w:val="clear" w:color="auto" w:fill="D9D9D9"/>
                                </w:tcPr>
                                <w:p w14:paraId="1741469E"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-3,8</w:t>
                                  </w:r>
                                </w:p>
                              </w:tc>
                            </w:tr>
                            <w:tr w:rsidR="00C05827" w:rsidRPr="0014433C" w14:paraId="3872E00C" w14:textId="77777777" w:rsidTr="003462C2">
                              <w:tc>
                                <w:tcPr>
                                  <w:tcW w:w="4390" w:type="dxa"/>
                                </w:tcPr>
                                <w:p w14:paraId="0B3711AE"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 xml:space="preserve">Årslønn </w:t>
                                  </w:r>
                                </w:p>
                              </w:tc>
                              <w:tc>
                                <w:tcPr>
                                  <w:tcW w:w="1559" w:type="dxa"/>
                                </w:tcPr>
                                <w:p w14:paraId="5AADEE84"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17" w:type="dxa"/>
                                </w:tcPr>
                                <w:p w14:paraId="5DA42188"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82" w:type="dxa"/>
                                </w:tcPr>
                                <w:p w14:paraId="7CA7479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38D46D6E" w14:textId="77777777" w:rsidTr="00E56B2E">
                              <w:tc>
                                <w:tcPr>
                                  <w:tcW w:w="4390" w:type="dxa"/>
                                  <w:shd w:val="clear" w:color="auto" w:fill="D9D9D9"/>
                                </w:tcPr>
                                <w:p w14:paraId="2A0A0500"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 xml:space="preserve">KPI </w:t>
                                  </w:r>
                                  <w:r w:rsidRPr="0014433C">
                                    <w:rPr>
                                      <w:rFonts w:ascii="Open Sans" w:hAnsi="Open Sans" w:cs="Open Sans"/>
                                      <w:sz w:val="16"/>
                                      <w:szCs w:val="16"/>
                                      <w:vertAlign w:val="superscript"/>
                                    </w:rPr>
                                    <w:t>1</w:t>
                                  </w:r>
                                </w:p>
                              </w:tc>
                              <w:tc>
                                <w:tcPr>
                                  <w:tcW w:w="1559" w:type="dxa"/>
                                  <w:shd w:val="clear" w:color="auto" w:fill="D9D9D9"/>
                                </w:tcPr>
                                <w:p w14:paraId="5D6EA644"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17" w:type="dxa"/>
                                  <w:shd w:val="clear" w:color="auto" w:fill="D9D9D9"/>
                                </w:tcPr>
                                <w:p w14:paraId="78ED73A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82" w:type="dxa"/>
                                  <w:shd w:val="clear" w:color="auto" w:fill="D9D9D9"/>
                                </w:tcPr>
                                <w:p w14:paraId="487B2F5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r>
                            <w:tr w:rsidR="00C05827" w:rsidRPr="0014433C" w14:paraId="3065DC0C" w14:textId="77777777" w:rsidTr="003462C2">
                              <w:tc>
                                <w:tcPr>
                                  <w:tcW w:w="4390" w:type="dxa"/>
                                </w:tcPr>
                                <w:p w14:paraId="4876F7B7" w14:textId="77777777" w:rsidR="00C05827" w:rsidRPr="0014433C" w:rsidRDefault="00C05827" w:rsidP="00D11D67">
                                  <w:pPr>
                                    <w:spacing w:line="240" w:lineRule="auto"/>
                                    <w:rPr>
                                      <w:rFonts w:ascii="Open Sans" w:hAnsi="Open Sans" w:cs="Open Sans"/>
                                      <w:sz w:val="16"/>
                                      <w:szCs w:val="16"/>
                                    </w:rPr>
                                  </w:pPr>
                                </w:p>
                              </w:tc>
                              <w:tc>
                                <w:tcPr>
                                  <w:tcW w:w="1559" w:type="dxa"/>
                                </w:tcPr>
                                <w:p w14:paraId="170A10C2" w14:textId="77777777" w:rsidR="00C05827" w:rsidRPr="0014433C" w:rsidRDefault="00C05827" w:rsidP="00D11D67">
                                  <w:pPr>
                                    <w:spacing w:line="240" w:lineRule="auto"/>
                                    <w:jc w:val="center"/>
                                    <w:rPr>
                                      <w:rFonts w:ascii="Open Sans" w:hAnsi="Open Sans" w:cs="Open Sans"/>
                                      <w:sz w:val="16"/>
                                      <w:szCs w:val="16"/>
                                    </w:rPr>
                                  </w:pPr>
                                </w:p>
                              </w:tc>
                              <w:tc>
                                <w:tcPr>
                                  <w:tcW w:w="1417" w:type="dxa"/>
                                </w:tcPr>
                                <w:p w14:paraId="78319DD1" w14:textId="77777777" w:rsidR="00C05827" w:rsidRPr="0014433C" w:rsidRDefault="00C05827" w:rsidP="00D11D67">
                                  <w:pPr>
                                    <w:spacing w:line="240" w:lineRule="auto"/>
                                    <w:jc w:val="center"/>
                                    <w:rPr>
                                      <w:rFonts w:ascii="Open Sans" w:hAnsi="Open Sans" w:cs="Open Sans"/>
                                      <w:sz w:val="16"/>
                                      <w:szCs w:val="16"/>
                                    </w:rPr>
                                  </w:pPr>
                                </w:p>
                              </w:tc>
                              <w:tc>
                                <w:tcPr>
                                  <w:tcW w:w="1482" w:type="dxa"/>
                                </w:tcPr>
                                <w:p w14:paraId="228055BC" w14:textId="77777777" w:rsidR="00C05827" w:rsidRPr="0014433C" w:rsidRDefault="00C05827" w:rsidP="00D11D67">
                                  <w:pPr>
                                    <w:spacing w:line="240" w:lineRule="auto"/>
                                    <w:jc w:val="center"/>
                                    <w:rPr>
                                      <w:rFonts w:ascii="Open Sans" w:hAnsi="Open Sans" w:cs="Open Sans"/>
                                      <w:sz w:val="16"/>
                                      <w:szCs w:val="16"/>
                                    </w:rPr>
                                  </w:pPr>
                                </w:p>
                              </w:tc>
                            </w:tr>
                            <w:tr w:rsidR="00C05827" w:rsidRPr="0014433C" w14:paraId="231BF641" w14:textId="77777777" w:rsidTr="00E56B2E">
                              <w:tc>
                                <w:tcPr>
                                  <w:tcW w:w="4390" w:type="dxa"/>
                                  <w:shd w:val="clear" w:color="auto" w:fill="D9D9D9"/>
                                </w:tcPr>
                                <w:p w14:paraId="4EB78E87" w14:textId="77777777" w:rsidR="00C05827" w:rsidRPr="0014433C" w:rsidRDefault="00C05827" w:rsidP="00D11D67">
                                  <w:pPr>
                                    <w:spacing w:line="240" w:lineRule="auto"/>
                                    <w:rPr>
                                      <w:rFonts w:ascii="Open Sans" w:hAnsi="Open Sans" w:cs="Open Sans"/>
                                      <w:b/>
                                      <w:bCs/>
                                      <w:sz w:val="16"/>
                                      <w:szCs w:val="16"/>
                                    </w:rPr>
                                  </w:pPr>
                                  <w:r w:rsidRPr="0014433C">
                                    <w:rPr>
                                      <w:rFonts w:ascii="Open Sans" w:hAnsi="Open Sans" w:cs="Open Sans"/>
                                      <w:b/>
                                      <w:bCs/>
                                      <w:sz w:val="16"/>
                                      <w:szCs w:val="16"/>
                                    </w:rPr>
                                    <w:t>Forutsetninger</w:t>
                                  </w:r>
                                </w:p>
                              </w:tc>
                              <w:tc>
                                <w:tcPr>
                                  <w:tcW w:w="1559" w:type="dxa"/>
                                  <w:shd w:val="clear" w:color="auto" w:fill="D9D9D9"/>
                                </w:tcPr>
                                <w:p w14:paraId="72E3A689" w14:textId="77777777" w:rsidR="00C05827" w:rsidRPr="0014433C" w:rsidRDefault="00C05827" w:rsidP="00D11D67">
                                  <w:pPr>
                                    <w:spacing w:line="240" w:lineRule="auto"/>
                                    <w:jc w:val="center"/>
                                    <w:rPr>
                                      <w:rFonts w:ascii="Open Sans" w:hAnsi="Open Sans" w:cs="Open Sans"/>
                                      <w:sz w:val="16"/>
                                      <w:szCs w:val="16"/>
                                    </w:rPr>
                                  </w:pPr>
                                </w:p>
                              </w:tc>
                              <w:tc>
                                <w:tcPr>
                                  <w:tcW w:w="1417" w:type="dxa"/>
                                  <w:shd w:val="clear" w:color="auto" w:fill="D9D9D9"/>
                                </w:tcPr>
                                <w:p w14:paraId="2278B947" w14:textId="77777777" w:rsidR="00C05827" w:rsidRPr="0014433C" w:rsidRDefault="00C05827" w:rsidP="00D11D67">
                                  <w:pPr>
                                    <w:spacing w:line="240" w:lineRule="auto"/>
                                    <w:jc w:val="center"/>
                                    <w:rPr>
                                      <w:rFonts w:ascii="Open Sans" w:hAnsi="Open Sans" w:cs="Open Sans"/>
                                      <w:sz w:val="16"/>
                                      <w:szCs w:val="16"/>
                                    </w:rPr>
                                  </w:pPr>
                                </w:p>
                              </w:tc>
                              <w:tc>
                                <w:tcPr>
                                  <w:tcW w:w="1482" w:type="dxa"/>
                                  <w:shd w:val="clear" w:color="auto" w:fill="D9D9D9"/>
                                </w:tcPr>
                                <w:p w14:paraId="0C6894AA" w14:textId="77777777" w:rsidR="00C05827" w:rsidRPr="0014433C" w:rsidRDefault="00C05827" w:rsidP="00D11D67">
                                  <w:pPr>
                                    <w:spacing w:line="240" w:lineRule="auto"/>
                                    <w:jc w:val="center"/>
                                    <w:rPr>
                                      <w:rFonts w:ascii="Open Sans" w:hAnsi="Open Sans" w:cs="Open Sans"/>
                                      <w:sz w:val="16"/>
                                      <w:szCs w:val="16"/>
                                    </w:rPr>
                                  </w:pPr>
                                </w:p>
                              </w:tc>
                            </w:tr>
                            <w:tr w:rsidR="00C05827" w:rsidRPr="0014433C" w14:paraId="0C5FF892" w14:textId="77777777" w:rsidTr="003462C2">
                              <w:tc>
                                <w:tcPr>
                                  <w:tcW w:w="4390" w:type="dxa"/>
                                </w:tcPr>
                                <w:p w14:paraId="02C2F3CF"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Eksportmarkedsindikator (MII)</w:t>
                                  </w:r>
                                </w:p>
                              </w:tc>
                              <w:tc>
                                <w:tcPr>
                                  <w:tcW w:w="1559" w:type="dxa"/>
                                </w:tcPr>
                                <w:p w14:paraId="0C0FF7A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-2,0</w:t>
                                  </w:r>
                                </w:p>
                              </w:tc>
                              <w:tc>
                                <w:tcPr>
                                  <w:tcW w:w="1417" w:type="dxa"/>
                                </w:tcPr>
                                <w:p w14:paraId="5B9CCF5C"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-0,6</w:t>
                                  </w:r>
                                </w:p>
                              </w:tc>
                              <w:tc>
                                <w:tcPr>
                                  <w:tcW w:w="1482" w:type="dxa"/>
                                </w:tcPr>
                                <w:p w14:paraId="29CBD966"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7A7EFA2A" w14:textId="77777777" w:rsidTr="00E56B2E">
                              <w:tc>
                                <w:tcPr>
                                  <w:tcW w:w="4390" w:type="dxa"/>
                                  <w:shd w:val="clear" w:color="auto" w:fill="D9D9D9"/>
                                </w:tcPr>
                                <w:p w14:paraId="58CFBCB3"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Konsumpris Euro-området </w:t>
                                  </w:r>
                                  <w:r w:rsidRPr="0014433C">
                                    <w:rPr>
                                      <w:rFonts w:ascii="Open Sans" w:hAnsi="Open Sans" w:cs="Open Sans"/>
                                      <w:sz w:val="16"/>
                                      <w:szCs w:val="16"/>
                                      <w:vertAlign w:val="superscript"/>
                                    </w:rPr>
                                    <w:t>1</w:t>
                                  </w:r>
                                </w:p>
                              </w:tc>
                              <w:tc>
                                <w:tcPr>
                                  <w:tcW w:w="1559" w:type="dxa"/>
                                  <w:shd w:val="clear" w:color="auto" w:fill="D9D9D9"/>
                                </w:tcPr>
                                <w:p w14:paraId="3486F9B1"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2,0</w:t>
                                  </w:r>
                                </w:p>
                              </w:tc>
                              <w:tc>
                                <w:tcPr>
                                  <w:tcW w:w="1417" w:type="dxa"/>
                                  <w:shd w:val="clear" w:color="auto" w:fill="D9D9D9"/>
                                </w:tcPr>
                                <w:p w14:paraId="3925CCE6"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0,6</w:t>
                                  </w:r>
                                </w:p>
                              </w:tc>
                              <w:tc>
                                <w:tcPr>
                                  <w:tcW w:w="1482" w:type="dxa"/>
                                  <w:shd w:val="clear" w:color="auto" w:fill="D9D9D9"/>
                                </w:tcPr>
                                <w:p w14:paraId="7A3265F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0,0</w:t>
                                  </w:r>
                                </w:p>
                              </w:tc>
                            </w:tr>
                            <w:tr w:rsidR="00C05827" w:rsidRPr="0014433C" w14:paraId="44480948" w14:textId="77777777" w:rsidTr="003462C2">
                              <w:tc>
                                <w:tcPr>
                                  <w:tcW w:w="4390" w:type="dxa"/>
                                </w:tcPr>
                                <w:p w14:paraId="74500F12" w14:textId="77777777" w:rsidR="00C05827" w:rsidRPr="006E44B2" w:rsidRDefault="00C05827" w:rsidP="00D11D67">
                                  <w:pPr>
                                    <w:spacing w:line="240" w:lineRule="auto"/>
                                    <w:rPr>
                                      <w:rFonts w:ascii="Open Sans" w:hAnsi="Open Sans" w:cs="Open Sans"/>
                                      <w:sz w:val="16"/>
                                      <w:szCs w:val="16"/>
                                      <w:lang w:val="en-US"/>
                                    </w:rPr>
                                  </w:pPr>
                                  <w:proofErr w:type="spellStart"/>
                                  <w:r w:rsidRPr="006E44B2">
                                    <w:rPr>
                                      <w:rFonts w:ascii="Open Sans" w:hAnsi="Open Sans" w:cs="Open Sans"/>
                                      <w:sz w:val="16"/>
                                      <w:szCs w:val="16"/>
                                      <w:lang w:val="en-US"/>
                                    </w:rPr>
                                    <w:t>Råoljepris</w:t>
                                  </w:r>
                                  <w:proofErr w:type="spellEnd"/>
                                  <w:r w:rsidRPr="006E44B2">
                                    <w:rPr>
                                      <w:rFonts w:ascii="Open Sans" w:hAnsi="Open Sans" w:cs="Open Sans"/>
                                      <w:sz w:val="16"/>
                                      <w:szCs w:val="16"/>
                                      <w:lang w:val="en-US"/>
                                    </w:rPr>
                                    <w:t xml:space="preserve"> per fat </w:t>
                                  </w:r>
                                  <w:proofErr w:type="spellStart"/>
                                  <w:r w:rsidRPr="006E44B2">
                                    <w:rPr>
                                      <w:rFonts w:ascii="Open Sans" w:hAnsi="Open Sans" w:cs="Open Sans"/>
                                      <w:sz w:val="16"/>
                                      <w:szCs w:val="16"/>
                                      <w:lang w:val="en-US"/>
                                    </w:rPr>
                                    <w:t>i</w:t>
                                  </w:r>
                                  <w:proofErr w:type="spellEnd"/>
                                  <w:r w:rsidRPr="006E44B2">
                                    <w:rPr>
                                      <w:rFonts w:ascii="Open Sans" w:hAnsi="Open Sans" w:cs="Open Sans"/>
                                      <w:sz w:val="16"/>
                                      <w:szCs w:val="16"/>
                                      <w:lang w:val="en-US"/>
                                    </w:rPr>
                                    <w:t xml:space="preserve"> dollar </w:t>
                                  </w:r>
                                  <w:r w:rsidRPr="006E44B2">
                                    <w:rPr>
                                      <w:rFonts w:ascii="Open Sans" w:hAnsi="Open Sans" w:cs="Open Sans"/>
                                      <w:sz w:val="16"/>
                                      <w:szCs w:val="16"/>
                                      <w:vertAlign w:val="superscript"/>
                                      <w:lang w:val="en-US"/>
                                    </w:rPr>
                                    <w:t>2</w:t>
                                  </w:r>
                                  <w:r w:rsidRPr="006E44B2">
                                    <w:rPr>
                                      <w:rFonts w:ascii="Open Sans" w:hAnsi="Open Sans" w:cs="Open Sans"/>
                                      <w:sz w:val="16"/>
                                      <w:szCs w:val="16"/>
                                      <w:lang w:val="en-US"/>
                                    </w:rPr>
                                    <w:t xml:space="preserve"> </w:t>
                                  </w:r>
                                </w:p>
                              </w:tc>
                              <w:tc>
                                <w:tcPr>
                                  <w:tcW w:w="1559" w:type="dxa"/>
                                </w:tcPr>
                                <w:p w14:paraId="3E5F2272"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17" w:type="dxa"/>
                                </w:tcPr>
                                <w:p w14:paraId="62B94175"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5</w:t>
                                  </w:r>
                                </w:p>
                              </w:tc>
                              <w:tc>
                                <w:tcPr>
                                  <w:tcW w:w="1482" w:type="dxa"/>
                                </w:tcPr>
                                <w:p w14:paraId="781121BB"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0</w:t>
                                  </w:r>
                                </w:p>
                              </w:tc>
                            </w:tr>
                            <w:tr w:rsidR="00C05827" w:rsidRPr="0014433C" w14:paraId="3283B5FA" w14:textId="77777777" w:rsidTr="00E56B2E">
                              <w:tc>
                                <w:tcPr>
                                  <w:tcW w:w="4390" w:type="dxa"/>
                                  <w:tcBorders>
                                    <w:bottom w:val="single" w:sz="4" w:space="0" w:color="auto"/>
                                  </w:tcBorders>
                                  <w:shd w:val="clear" w:color="auto" w:fill="D9D9D9"/>
                                </w:tcPr>
                                <w:p w14:paraId="1A98DCDC"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Risikopremie </w:t>
                                  </w:r>
                                  <w:r w:rsidRPr="0014433C">
                                    <w:rPr>
                                      <w:rFonts w:ascii="Open Sans" w:hAnsi="Open Sans" w:cs="Open Sans"/>
                                      <w:sz w:val="16"/>
                                      <w:szCs w:val="16"/>
                                      <w:vertAlign w:val="superscript"/>
                                    </w:rPr>
                                    <w:t>1</w:t>
                                  </w:r>
                                </w:p>
                              </w:tc>
                              <w:tc>
                                <w:tcPr>
                                  <w:tcW w:w="1559" w:type="dxa"/>
                                  <w:tcBorders>
                                    <w:bottom w:val="single" w:sz="4" w:space="0" w:color="auto"/>
                                  </w:tcBorders>
                                  <w:shd w:val="clear" w:color="auto" w:fill="D9D9D9"/>
                                </w:tcPr>
                                <w:p w14:paraId="755DA542"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17" w:type="dxa"/>
                                  <w:tcBorders>
                                    <w:bottom w:val="single" w:sz="4" w:space="0" w:color="auto"/>
                                  </w:tcBorders>
                                  <w:shd w:val="clear" w:color="auto" w:fill="D9D9D9"/>
                                </w:tcPr>
                                <w:p w14:paraId="2499BDCE"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82" w:type="dxa"/>
                                  <w:tcBorders>
                                    <w:bottom w:val="single" w:sz="4" w:space="0" w:color="auto"/>
                                  </w:tcBorders>
                                  <w:shd w:val="clear" w:color="auto" w:fill="D9D9D9"/>
                                </w:tcPr>
                                <w:p w14:paraId="39133FCF"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0,0</w:t>
                                  </w:r>
                                </w:p>
                              </w:tc>
                            </w:tr>
                          </w:tbl>
                          <w:p w14:paraId="01E90021" w14:textId="77777777" w:rsidR="00C05827" w:rsidRPr="0014433C" w:rsidRDefault="00C05827" w:rsidP="00C05827">
                            <w:pPr>
                              <w:adjustRightInd w:val="0"/>
                              <w:snapToGrid w:val="0"/>
                              <w:spacing w:before="40"/>
                              <w:rPr>
                                <w:sz w:val="16"/>
                                <w:szCs w:val="16"/>
                              </w:rPr>
                            </w:pPr>
                            <w:r w:rsidRPr="0014433C">
                              <w:rPr>
                                <w:sz w:val="16"/>
                                <w:szCs w:val="16"/>
                                <w:vertAlign w:val="superscript"/>
                              </w:rPr>
                              <w:t xml:space="preserve">1 </w:t>
                            </w:r>
                            <w:r w:rsidRPr="0014433C">
                              <w:rPr>
                                <w:sz w:val="16"/>
                                <w:szCs w:val="16"/>
                              </w:rPr>
                              <w:t xml:space="preserve">Avviket er oppgitt i prosentpoeng.   </w:t>
                            </w:r>
                            <w:r w:rsidRPr="0014433C">
                              <w:rPr>
                                <w:sz w:val="16"/>
                                <w:szCs w:val="16"/>
                                <w:vertAlign w:val="superscript"/>
                              </w:rPr>
                              <w:t>2</w:t>
                            </w:r>
                            <w:r w:rsidRPr="0014433C">
                              <w:rPr>
                                <w:sz w:val="16"/>
                                <w:szCs w:val="16"/>
                              </w:rPr>
                              <w:t xml:space="preserve"> Avviket er oppgitt i dollar.</w:t>
                            </w:r>
                          </w:p>
                          <w:p w14:paraId="62B6B054" w14:textId="77777777" w:rsidR="00C05827" w:rsidRDefault="00C05827" w:rsidP="00C05827">
                            <w:pPr>
                              <w:rPr>
                                <w:sz w:val="14"/>
                                <w:szCs w:val="14"/>
                              </w:rPr>
                            </w:pPr>
                          </w:p>
                          <w:p w14:paraId="15976528" w14:textId="77777777" w:rsidR="00C05827" w:rsidRPr="0014433C" w:rsidRDefault="00C05827" w:rsidP="00C05827">
                            <w:pPr>
                              <w:rPr>
                                <w:rFonts w:ascii="Open Sans" w:hAnsi="Open Sans" w:cs="Open Sans"/>
                                <w:sz w:val="18"/>
                                <w:szCs w:val="18"/>
                              </w:rPr>
                            </w:pPr>
                            <w:r w:rsidRPr="0014433C">
                              <w:rPr>
                                <w:rFonts w:ascii="Open Sans" w:hAnsi="Open Sans" w:cs="Open Sans"/>
                                <w:sz w:val="18"/>
                                <w:szCs w:val="18"/>
                              </w:rPr>
                              <w:t>Alt i alt vil BNP Fastlands-Norge i alternativbanen være</w:t>
                            </w:r>
                            <w:r>
                              <w:rPr>
                                <w:rFonts w:ascii="Open Sans" w:hAnsi="Open Sans" w:cs="Open Sans"/>
                                <w:sz w:val="18"/>
                                <w:szCs w:val="18"/>
                              </w:rPr>
                              <w:t xml:space="preserve"> </w:t>
                            </w:r>
                            <w:r w:rsidRPr="0014433C">
                              <w:rPr>
                                <w:rFonts w:ascii="Open Sans" w:hAnsi="Open Sans" w:cs="Open Sans"/>
                                <w:sz w:val="18"/>
                                <w:szCs w:val="18"/>
                              </w:rPr>
                              <w:t>0,5 prosent lavere i 2022 og 0,7 prosent lavere 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549F" id="Tekstboks 5" o:spid="_x0000_s1028" type="#_x0000_t202" style="position:absolute;margin-left:-2.15pt;margin-top:1.15pt;width:455.9pt;height:698.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" fillcolor="window" strokeweight=".5pt">
                <v:textbox>
                  <w:txbxContent>
                    <w:p w14:paraId="2B4E9494" w14:textId="26E2D91C" w:rsidR="00C05827" w:rsidRPr="00E56B2E" w:rsidRDefault="00C05827" w:rsidP="00C05827">
                      <w:pPr>
                        <w:jc w:val="both"/>
                        <w:rPr>
                          <w:rFonts w:ascii="Open Sans" w:hAnsi="Open Sans" w:cs="Open Sans"/>
                          <w:b/>
                          <w:bCs/>
                          <w:szCs w:val="20"/>
                        </w:rPr>
                      </w:pPr>
                      <w:r w:rsidRPr="00E82E4B">
                        <w:rPr>
                          <w:rFonts w:ascii="Open Sans" w:hAnsi="Open Sans" w:cs="Open Sans"/>
                          <w:b/>
                          <w:bCs/>
                          <w:szCs w:val="20"/>
                        </w:rPr>
                        <w:t xml:space="preserve">Boks </w:t>
                      </w:r>
                      <w:r w:rsidR="00C80865">
                        <w:rPr>
                          <w:rFonts w:ascii="Open Sans" w:hAnsi="Open Sans" w:cs="Open Sans"/>
                          <w:b/>
                          <w:bCs/>
                          <w:szCs w:val="20"/>
                        </w:rPr>
                        <w:t>3</w:t>
                      </w:r>
                      <w:r w:rsidRPr="00E82E4B">
                        <w:rPr>
                          <w:rFonts w:ascii="Open Sans" w:hAnsi="Open Sans" w:cs="Open Sans"/>
                          <w:b/>
                          <w:bCs/>
                          <w:szCs w:val="20"/>
                        </w:rPr>
                        <w:t>: Krigen i Ukraina og norsk økonomi – en alternativ beregning utført av SSB</w:t>
                      </w:r>
                    </w:p>
                    <w:p w14:paraId="00A6C517" w14:textId="176A3489" w:rsidR="00C05827" w:rsidRPr="00E56B2E" w:rsidRDefault="00C05827" w:rsidP="00C05827">
                      <w:pPr>
                        <w:jc w:val="both"/>
                        <w:rPr>
                          <w:rFonts w:ascii="Open Sans" w:hAnsi="Open Sans" w:cs="Open Sans"/>
                          <w:sz w:val="18"/>
                          <w:szCs w:val="18"/>
                        </w:rPr>
                      </w:pPr>
                      <w:r w:rsidRPr="000A79B9">
                        <w:rPr>
                          <w:rFonts w:ascii="Open Sans" w:hAnsi="Open Sans" w:cs="Open Sans"/>
                          <w:sz w:val="18"/>
                          <w:szCs w:val="18"/>
                        </w:rPr>
                        <w:t>Utsiktene for internasjonal økonomi er</w:t>
                      </w:r>
                      <w:r>
                        <w:rPr>
                          <w:rFonts w:ascii="Open Sans" w:hAnsi="Open Sans" w:cs="Open Sans"/>
                          <w:sz w:val="18"/>
                          <w:szCs w:val="18"/>
                        </w:rPr>
                        <w:t xml:space="preserve"> </w:t>
                      </w:r>
                      <w:r w:rsidRPr="000A79B9">
                        <w:rPr>
                          <w:rFonts w:ascii="Open Sans" w:hAnsi="Open Sans" w:cs="Open Sans"/>
                          <w:sz w:val="18"/>
                          <w:szCs w:val="18"/>
                        </w:rPr>
                        <w:t>svært usikre som</w:t>
                      </w:r>
                      <w:r>
                        <w:rPr>
                          <w:rFonts w:ascii="Open Sans" w:hAnsi="Open Sans" w:cs="Open Sans"/>
                          <w:sz w:val="18"/>
                          <w:szCs w:val="18"/>
                        </w:rPr>
                        <w:t xml:space="preserve"> </w:t>
                      </w:r>
                      <w:r w:rsidRPr="000A79B9">
                        <w:rPr>
                          <w:rFonts w:ascii="Open Sans" w:hAnsi="Open Sans" w:cs="Open Sans"/>
                          <w:sz w:val="18"/>
                          <w:szCs w:val="18"/>
                        </w:rPr>
                        <w:t>følge av den pågående krigen i Ukraina. Dersom krigen</w:t>
                      </w:r>
                      <w:r>
                        <w:rPr>
                          <w:rFonts w:ascii="Open Sans" w:hAnsi="Open Sans" w:cs="Open Sans"/>
                          <w:sz w:val="18"/>
                          <w:szCs w:val="18"/>
                        </w:rPr>
                        <w:t xml:space="preserve"> </w:t>
                      </w:r>
                      <w:r w:rsidRPr="000A79B9">
                        <w:rPr>
                          <w:rFonts w:ascii="Open Sans" w:hAnsi="Open Sans" w:cs="Open Sans"/>
                          <w:sz w:val="18"/>
                          <w:szCs w:val="18"/>
                        </w:rPr>
                        <w:t>skulle eskalere og utvikle seg til en mer langvarig og</w:t>
                      </w:r>
                      <w:r>
                        <w:rPr>
                          <w:rFonts w:ascii="Open Sans" w:hAnsi="Open Sans" w:cs="Open Sans"/>
                          <w:sz w:val="18"/>
                          <w:szCs w:val="18"/>
                        </w:rPr>
                        <w:t xml:space="preserve"> </w:t>
                      </w:r>
                      <w:r w:rsidRPr="000A79B9">
                        <w:rPr>
                          <w:rFonts w:ascii="Open Sans" w:hAnsi="Open Sans" w:cs="Open Sans"/>
                          <w:sz w:val="18"/>
                          <w:szCs w:val="18"/>
                        </w:rPr>
                        <w:t>alvorlig konflikt i Europa</w:t>
                      </w:r>
                      <w:r>
                        <w:rPr>
                          <w:rFonts w:ascii="Open Sans" w:hAnsi="Open Sans" w:cs="Open Sans"/>
                          <w:sz w:val="18"/>
                          <w:szCs w:val="18"/>
                        </w:rPr>
                        <w:t>,</w:t>
                      </w:r>
                      <w:r w:rsidRPr="000A79B9">
                        <w:rPr>
                          <w:rFonts w:ascii="Open Sans" w:hAnsi="Open Sans" w:cs="Open Sans"/>
                          <w:sz w:val="18"/>
                          <w:szCs w:val="18"/>
                        </w:rPr>
                        <w:t xml:space="preserve"> kan det gå </w:t>
                      </w:r>
                      <w:r>
                        <w:rPr>
                          <w:rFonts w:ascii="Open Sans" w:hAnsi="Open Sans" w:cs="Open Sans"/>
                          <w:sz w:val="18"/>
                          <w:szCs w:val="18"/>
                        </w:rPr>
                        <w:t xml:space="preserve">mye </w:t>
                      </w:r>
                      <w:r w:rsidRPr="000A79B9">
                        <w:rPr>
                          <w:rFonts w:ascii="Open Sans" w:hAnsi="Open Sans" w:cs="Open Sans"/>
                          <w:sz w:val="18"/>
                          <w:szCs w:val="18"/>
                        </w:rPr>
                        <w:t>verre i internasjonal</w:t>
                      </w:r>
                      <w:r>
                        <w:rPr>
                          <w:rFonts w:ascii="Open Sans" w:hAnsi="Open Sans" w:cs="Open Sans"/>
                          <w:sz w:val="18"/>
                          <w:szCs w:val="18"/>
                        </w:rPr>
                        <w:t xml:space="preserve"> </w:t>
                      </w:r>
                      <w:r w:rsidRPr="000A79B9">
                        <w:rPr>
                          <w:rFonts w:ascii="Open Sans" w:hAnsi="Open Sans" w:cs="Open Sans"/>
                          <w:sz w:val="18"/>
                          <w:szCs w:val="18"/>
                        </w:rPr>
                        <w:t xml:space="preserve">økonomi enn det våre prognoser viser. </w:t>
                      </w:r>
                      <w:r>
                        <w:rPr>
                          <w:rFonts w:ascii="Open Sans" w:hAnsi="Open Sans" w:cs="Open Sans"/>
                          <w:sz w:val="18"/>
                          <w:szCs w:val="18"/>
                        </w:rPr>
                        <w:t>SSB</w:t>
                      </w:r>
                      <w:r w:rsidRPr="000A79B9">
                        <w:rPr>
                          <w:rFonts w:ascii="Open Sans" w:hAnsi="Open Sans" w:cs="Open Sans"/>
                          <w:sz w:val="18"/>
                          <w:szCs w:val="18"/>
                        </w:rPr>
                        <w:t xml:space="preserve"> har</w:t>
                      </w:r>
                      <w:r>
                        <w:rPr>
                          <w:rFonts w:ascii="Open Sans" w:hAnsi="Open Sans" w:cs="Open Sans"/>
                          <w:sz w:val="18"/>
                          <w:szCs w:val="18"/>
                        </w:rPr>
                        <w:t xml:space="preserve"> i Konjunkturtendensene 1/2022</w:t>
                      </w:r>
                      <w:r w:rsidRPr="000A79B9">
                        <w:rPr>
                          <w:rFonts w:ascii="Open Sans" w:hAnsi="Open Sans" w:cs="Open Sans"/>
                          <w:sz w:val="18"/>
                          <w:szCs w:val="18"/>
                        </w:rPr>
                        <w:t xml:space="preserve"> konstruert en alternativ beregning som illustrerer hvordan</w:t>
                      </w:r>
                      <w:r>
                        <w:rPr>
                          <w:rFonts w:ascii="Open Sans" w:hAnsi="Open Sans" w:cs="Open Sans"/>
                          <w:sz w:val="18"/>
                          <w:szCs w:val="18"/>
                        </w:rPr>
                        <w:t xml:space="preserve"> </w:t>
                      </w:r>
                      <w:r w:rsidRPr="000A79B9">
                        <w:rPr>
                          <w:rFonts w:ascii="Open Sans" w:hAnsi="Open Sans" w:cs="Open Sans"/>
                          <w:sz w:val="18"/>
                          <w:szCs w:val="18"/>
                        </w:rPr>
                        <w:t>utviklingen i norsk økonomi vil kunne bli</w:t>
                      </w:r>
                      <w:r w:rsidR="00AE7F51">
                        <w:rPr>
                          <w:rFonts w:ascii="Open Sans" w:hAnsi="Open Sans" w:cs="Open Sans"/>
                          <w:sz w:val="18"/>
                          <w:szCs w:val="18"/>
                        </w:rPr>
                        <w:t>,</w:t>
                      </w:r>
                      <w:r w:rsidRPr="000A79B9">
                        <w:rPr>
                          <w:rFonts w:ascii="Open Sans" w:hAnsi="Open Sans" w:cs="Open Sans"/>
                          <w:sz w:val="18"/>
                          <w:szCs w:val="18"/>
                        </w:rPr>
                        <w:t xml:space="preserve"> med mer</w:t>
                      </w:r>
                      <w:r>
                        <w:rPr>
                          <w:rFonts w:ascii="Open Sans" w:hAnsi="Open Sans" w:cs="Open Sans"/>
                          <w:sz w:val="18"/>
                          <w:szCs w:val="18"/>
                        </w:rPr>
                        <w:t xml:space="preserve"> </w:t>
                      </w:r>
                      <w:r w:rsidRPr="000A79B9">
                        <w:rPr>
                          <w:rFonts w:ascii="Open Sans" w:hAnsi="Open Sans" w:cs="Open Sans"/>
                          <w:sz w:val="18"/>
                          <w:szCs w:val="18"/>
                        </w:rPr>
                        <w:t>dystre forutsetninger for internasjonal økonomi.</w:t>
                      </w:r>
                    </w:p>
                    <w:p w14:paraId="18E3B63C" w14:textId="7A8209BD" w:rsidR="00C05827" w:rsidRPr="00E56B2E" w:rsidRDefault="00C05827" w:rsidP="00C05827">
                      <w:pPr>
                        <w:jc w:val="both"/>
                        <w:rPr>
                          <w:rFonts w:ascii="Open Sans" w:hAnsi="Open Sans" w:cs="Open Sans"/>
                          <w:sz w:val="18"/>
                          <w:szCs w:val="18"/>
                        </w:rPr>
                      </w:pPr>
                      <w:r w:rsidRPr="000A79B9">
                        <w:rPr>
                          <w:rFonts w:ascii="Open Sans" w:hAnsi="Open Sans" w:cs="Open Sans"/>
                          <w:sz w:val="18"/>
                          <w:szCs w:val="18"/>
                        </w:rPr>
                        <w:t>Alternativberegningen forutsetter, i tråd med alternativscenariet</w:t>
                      </w:r>
                      <w:r>
                        <w:rPr>
                          <w:rFonts w:ascii="Open Sans" w:hAnsi="Open Sans" w:cs="Open Sans"/>
                          <w:sz w:val="18"/>
                          <w:szCs w:val="18"/>
                        </w:rPr>
                        <w:t xml:space="preserve"> </w:t>
                      </w:r>
                      <w:r w:rsidRPr="000A79B9">
                        <w:rPr>
                          <w:rFonts w:ascii="Open Sans" w:hAnsi="Open Sans" w:cs="Open Sans"/>
                          <w:sz w:val="18"/>
                          <w:szCs w:val="18"/>
                        </w:rPr>
                        <w:t>utarbeidet av den europeiske</w:t>
                      </w:r>
                      <w:r>
                        <w:rPr>
                          <w:rFonts w:ascii="Open Sans" w:hAnsi="Open Sans" w:cs="Open Sans"/>
                          <w:sz w:val="18"/>
                          <w:szCs w:val="18"/>
                        </w:rPr>
                        <w:t xml:space="preserve"> </w:t>
                      </w:r>
                      <w:r w:rsidRPr="000A79B9">
                        <w:rPr>
                          <w:rFonts w:ascii="Open Sans" w:hAnsi="Open Sans" w:cs="Open Sans"/>
                          <w:sz w:val="18"/>
                          <w:szCs w:val="18"/>
                        </w:rPr>
                        <w:t>sentralbanken</w:t>
                      </w:r>
                      <w:r>
                        <w:rPr>
                          <w:rFonts w:ascii="Open Sans" w:hAnsi="Open Sans" w:cs="Open Sans"/>
                          <w:sz w:val="18"/>
                          <w:szCs w:val="18"/>
                        </w:rPr>
                        <w:t xml:space="preserve">, </w:t>
                      </w:r>
                      <w:r w:rsidRPr="000A79B9">
                        <w:rPr>
                          <w:rFonts w:ascii="Open Sans" w:hAnsi="Open Sans" w:cs="Open Sans"/>
                          <w:sz w:val="18"/>
                          <w:szCs w:val="18"/>
                        </w:rPr>
                        <w:t>strengere sanksjoner mot Russland som vil gi</w:t>
                      </w:r>
                      <w:r>
                        <w:rPr>
                          <w:rFonts w:ascii="Open Sans" w:hAnsi="Open Sans" w:cs="Open Sans"/>
                          <w:sz w:val="18"/>
                          <w:szCs w:val="18"/>
                        </w:rPr>
                        <w:t xml:space="preserve"> </w:t>
                      </w:r>
                      <w:r w:rsidRPr="000A79B9">
                        <w:rPr>
                          <w:rFonts w:ascii="Open Sans" w:hAnsi="Open Sans" w:cs="Open Sans"/>
                          <w:sz w:val="18"/>
                          <w:szCs w:val="18"/>
                        </w:rPr>
                        <w:t>ytterligere forstyrrelser i globale forsyningskjeder. Selv</w:t>
                      </w:r>
                      <w:r>
                        <w:rPr>
                          <w:rFonts w:ascii="Open Sans" w:hAnsi="Open Sans" w:cs="Open Sans"/>
                          <w:sz w:val="18"/>
                          <w:szCs w:val="18"/>
                        </w:rPr>
                        <w:t xml:space="preserve"> </w:t>
                      </w:r>
                      <w:r w:rsidRPr="000A79B9">
                        <w:rPr>
                          <w:rFonts w:ascii="Open Sans" w:hAnsi="Open Sans" w:cs="Open Sans"/>
                          <w:sz w:val="18"/>
                          <w:szCs w:val="18"/>
                        </w:rPr>
                        <w:t xml:space="preserve">om direkte handel med Russland står for en </w:t>
                      </w:r>
                      <w:r w:rsidR="00C75D38">
                        <w:rPr>
                          <w:rFonts w:ascii="Open Sans" w:hAnsi="Open Sans" w:cs="Open Sans"/>
                          <w:sz w:val="18"/>
                          <w:szCs w:val="18"/>
                        </w:rPr>
                        <w:t xml:space="preserve">liten </w:t>
                      </w:r>
                      <w:r w:rsidRPr="000A79B9">
                        <w:rPr>
                          <w:rFonts w:ascii="Open Sans" w:hAnsi="Open Sans" w:cs="Open Sans"/>
                          <w:sz w:val="18"/>
                          <w:szCs w:val="18"/>
                        </w:rPr>
                        <w:t>del av euroområdets utenlandske etterspørsel, vil</w:t>
                      </w:r>
                      <w:r>
                        <w:rPr>
                          <w:rFonts w:ascii="Open Sans" w:hAnsi="Open Sans" w:cs="Open Sans"/>
                          <w:sz w:val="18"/>
                          <w:szCs w:val="18"/>
                        </w:rPr>
                        <w:t xml:space="preserve"> </w:t>
                      </w:r>
                      <w:r w:rsidRPr="000A79B9">
                        <w:rPr>
                          <w:rFonts w:ascii="Open Sans" w:hAnsi="Open Sans" w:cs="Open Sans"/>
                          <w:sz w:val="18"/>
                          <w:szCs w:val="18"/>
                        </w:rPr>
                        <w:t>ringvirkningene til den globale økonomien – særlig via</w:t>
                      </w:r>
                      <w:r>
                        <w:rPr>
                          <w:rFonts w:ascii="Open Sans" w:hAnsi="Open Sans" w:cs="Open Sans"/>
                          <w:sz w:val="18"/>
                          <w:szCs w:val="18"/>
                        </w:rPr>
                        <w:t xml:space="preserve"> </w:t>
                      </w:r>
                      <w:r w:rsidRPr="000A79B9">
                        <w:rPr>
                          <w:rFonts w:ascii="Open Sans" w:hAnsi="Open Sans" w:cs="Open Sans"/>
                          <w:sz w:val="18"/>
                          <w:szCs w:val="18"/>
                        </w:rPr>
                        <w:t>land med sterkere handelsforbindelser med Russland</w:t>
                      </w:r>
                      <w:r>
                        <w:rPr>
                          <w:rFonts w:ascii="Open Sans" w:hAnsi="Open Sans" w:cs="Open Sans"/>
                          <w:sz w:val="18"/>
                          <w:szCs w:val="18"/>
                        </w:rPr>
                        <w:t xml:space="preserve"> </w:t>
                      </w:r>
                      <w:r w:rsidRPr="000A79B9">
                        <w:rPr>
                          <w:rFonts w:ascii="Open Sans" w:hAnsi="Open Sans" w:cs="Open Sans"/>
                          <w:sz w:val="18"/>
                          <w:szCs w:val="18"/>
                        </w:rPr>
                        <w:t>– svekke aktiviteten i euroområdet som helhet.</w:t>
                      </w:r>
                      <w:r>
                        <w:rPr>
                          <w:rFonts w:ascii="Open Sans" w:hAnsi="Open Sans" w:cs="Open Sans"/>
                          <w:sz w:val="18"/>
                          <w:szCs w:val="18"/>
                        </w:rPr>
                        <w:t xml:space="preserve"> </w:t>
                      </w:r>
                      <w:r w:rsidRPr="000A79B9">
                        <w:rPr>
                          <w:rFonts w:ascii="Open Sans" w:hAnsi="Open Sans" w:cs="Open Sans"/>
                          <w:sz w:val="18"/>
                          <w:szCs w:val="18"/>
                        </w:rPr>
                        <w:t>Videre antar alternativberegningen noe høyere olje- og</w:t>
                      </w:r>
                      <w:r>
                        <w:rPr>
                          <w:rFonts w:ascii="Open Sans" w:hAnsi="Open Sans" w:cs="Open Sans"/>
                          <w:sz w:val="18"/>
                          <w:szCs w:val="18"/>
                        </w:rPr>
                        <w:t xml:space="preserve"> </w:t>
                      </w:r>
                      <w:r w:rsidRPr="000A79B9">
                        <w:rPr>
                          <w:rFonts w:ascii="Open Sans" w:hAnsi="Open Sans" w:cs="Open Sans"/>
                          <w:sz w:val="18"/>
                          <w:szCs w:val="18"/>
                        </w:rPr>
                        <w:t>gasspriser som følge av økt usikkerhet i markedene og</w:t>
                      </w:r>
                      <w:r>
                        <w:rPr>
                          <w:rFonts w:ascii="Open Sans" w:hAnsi="Open Sans" w:cs="Open Sans"/>
                          <w:sz w:val="18"/>
                          <w:szCs w:val="18"/>
                        </w:rPr>
                        <w:t xml:space="preserve"> </w:t>
                      </w:r>
                      <w:r w:rsidRPr="000A79B9">
                        <w:rPr>
                          <w:rFonts w:ascii="Open Sans" w:hAnsi="Open Sans" w:cs="Open Sans"/>
                          <w:sz w:val="18"/>
                          <w:szCs w:val="18"/>
                        </w:rPr>
                        <w:t>et mindre kutt i russisk gassforsyning til Europa som</w:t>
                      </w:r>
                      <w:r>
                        <w:rPr>
                          <w:rFonts w:ascii="Open Sans" w:hAnsi="Open Sans" w:cs="Open Sans"/>
                          <w:sz w:val="18"/>
                          <w:szCs w:val="18"/>
                        </w:rPr>
                        <w:t xml:space="preserve"> </w:t>
                      </w:r>
                      <w:r w:rsidRPr="000A79B9">
                        <w:rPr>
                          <w:rFonts w:ascii="Open Sans" w:hAnsi="Open Sans" w:cs="Open Sans"/>
                          <w:sz w:val="18"/>
                          <w:szCs w:val="18"/>
                        </w:rPr>
                        <w:t>bare delvis kan kompenseres for ved å bruke andre</w:t>
                      </w:r>
                      <w:r>
                        <w:rPr>
                          <w:rFonts w:ascii="Open Sans" w:hAnsi="Open Sans" w:cs="Open Sans"/>
                          <w:sz w:val="18"/>
                          <w:szCs w:val="18"/>
                        </w:rPr>
                        <w:t xml:space="preserve"> </w:t>
                      </w:r>
                      <w:r w:rsidRPr="000A79B9">
                        <w:rPr>
                          <w:rFonts w:ascii="Open Sans" w:hAnsi="Open Sans" w:cs="Open Sans"/>
                          <w:sz w:val="18"/>
                          <w:szCs w:val="18"/>
                        </w:rPr>
                        <w:t>energikilder. Høyere energipriser vil forplante seg i</w:t>
                      </w:r>
                      <w:r>
                        <w:rPr>
                          <w:rFonts w:ascii="Open Sans" w:hAnsi="Open Sans" w:cs="Open Sans"/>
                          <w:sz w:val="18"/>
                          <w:szCs w:val="18"/>
                        </w:rPr>
                        <w:t xml:space="preserve"> </w:t>
                      </w:r>
                      <w:r w:rsidRPr="000A79B9">
                        <w:rPr>
                          <w:rFonts w:ascii="Open Sans" w:hAnsi="Open Sans" w:cs="Open Sans"/>
                          <w:sz w:val="18"/>
                          <w:szCs w:val="18"/>
                        </w:rPr>
                        <w:t>økonomiene og presse inflasjonen ytterligere opp i</w:t>
                      </w:r>
                      <w:r>
                        <w:rPr>
                          <w:rFonts w:ascii="Open Sans" w:hAnsi="Open Sans" w:cs="Open Sans"/>
                          <w:sz w:val="18"/>
                          <w:szCs w:val="18"/>
                        </w:rPr>
                        <w:t xml:space="preserve"> </w:t>
                      </w:r>
                      <w:r w:rsidRPr="000A79B9">
                        <w:rPr>
                          <w:rFonts w:ascii="Open Sans" w:hAnsi="Open Sans" w:cs="Open Sans"/>
                          <w:sz w:val="18"/>
                          <w:szCs w:val="18"/>
                        </w:rPr>
                        <w:t>euroområdet. Samtidig legger alternativberegningen til</w:t>
                      </w:r>
                      <w:r>
                        <w:rPr>
                          <w:rFonts w:ascii="Open Sans" w:hAnsi="Open Sans" w:cs="Open Sans"/>
                          <w:sz w:val="18"/>
                          <w:szCs w:val="18"/>
                        </w:rPr>
                        <w:t xml:space="preserve"> </w:t>
                      </w:r>
                      <w:r w:rsidRPr="000A79B9">
                        <w:rPr>
                          <w:rFonts w:ascii="Open Sans" w:hAnsi="Open Sans" w:cs="Open Sans"/>
                          <w:sz w:val="18"/>
                          <w:szCs w:val="18"/>
                        </w:rPr>
                        <w:t>grunn en brattere og mer vedvarende økning i råvareprisene</w:t>
                      </w:r>
                      <w:r>
                        <w:rPr>
                          <w:rFonts w:ascii="Open Sans" w:hAnsi="Open Sans" w:cs="Open Sans"/>
                          <w:sz w:val="18"/>
                          <w:szCs w:val="18"/>
                        </w:rPr>
                        <w:t xml:space="preserve"> </w:t>
                      </w:r>
                      <w:r w:rsidRPr="000A79B9">
                        <w:rPr>
                          <w:rFonts w:ascii="Open Sans" w:hAnsi="Open Sans" w:cs="Open Sans"/>
                          <w:sz w:val="18"/>
                          <w:szCs w:val="18"/>
                        </w:rPr>
                        <w:t>som vil forsterke andrerundeeffektene på</w:t>
                      </w:r>
                      <w:r>
                        <w:rPr>
                          <w:rFonts w:ascii="Open Sans" w:hAnsi="Open Sans" w:cs="Open Sans"/>
                          <w:sz w:val="18"/>
                          <w:szCs w:val="18"/>
                        </w:rPr>
                        <w:t xml:space="preserve"> </w:t>
                      </w:r>
                      <w:r w:rsidRPr="000A79B9">
                        <w:rPr>
                          <w:rFonts w:ascii="Open Sans" w:hAnsi="Open Sans" w:cs="Open Sans"/>
                          <w:sz w:val="18"/>
                          <w:szCs w:val="18"/>
                        </w:rPr>
                        <w:t>inflasjonen. Alternativberegningen forutsetter også at</w:t>
                      </w:r>
                      <w:r>
                        <w:rPr>
                          <w:rFonts w:ascii="Open Sans" w:hAnsi="Open Sans" w:cs="Open Sans"/>
                          <w:sz w:val="18"/>
                          <w:szCs w:val="18"/>
                        </w:rPr>
                        <w:t xml:space="preserve"> </w:t>
                      </w:r>
                      <w:r w:rsidRPr="000A79B9">
                        <w:rPr>
                          <w:rFonts w:ascii="Open Sans" w:hAnsi="Open Sans" w:cs="Open Sans"/>
                          <w:sz w:val="18"/>
                          <w:szCs w:val="18"/>
                        </w:rPr>
                        <w:t>strengere sanksjoner mot Russland, sammen med mer</w:t>
                      </w:r>
                      <w:r>
                        <w:rPr>
                          <w:rFonts w:ascii="Open Sans" w:hAnsi="Open Sans" w:cs="Open Sans"/>
                          <w:sz w:val="18"/>
                          <w:szCs w:val="18"/>
                        </w:rPr>
                        <w:t xml:space="preserve"> </w:t>
                      </w:r>
                      <w:r w:rsidRPr="000A79B9">
                        <w:rPr>
                          <w:rFonts w:ascii="Open Sans" w:hAnsi="Open Sans" w:cs="Open Sans"/>
                          <w:sz w:val="18"/>
                          <w:szCs w:val="18"/>
                        </w:rPr>
                        <w:t>vedvarende geopolitiske spenninger, vil føre til en mer</w:t>
                      </w:r>
                      <w:r>
                        <w:rPr>
                          <w:rFonts w:ascii="Open Sans" w:hAnsi="Open Sans" w:cs="Open Sans"/>
                          <w:sz w:val="18"/>
                          <w:szCs w:val="18"/>
                        </w:rPr>
                        <w:t xml:space="preserve"> </w:t>
                      </w:r>
                      <w:r w:rsidRPr="000A79B9">
                        <w:rPr>
                          <w:rFonts w:ascii="Open Sans" w:hAnsi="Open Sans" w:cs="Open Sans"/>
                          <w:sz w:val="18"/>
                          <w:szCs w:val="18"/>
                        </w:rPr>
                        <w:t>alvorlig og langvarig økning i den globale usikkerheten</w:t>
                      </w:r>
                      <w:r>
                        <w:rPr>
                          <w:rFonts w:ascii="Open Sans" w:hAnsi="Open Sans" w:cs="Open Sans"/>
                          <w:sz w:val="18"/>
                          <w:szCs w:val="18"/>
                        </w:rPr>
                        <w:t xml:space="preserve"> </w:t>
                      </w:r>
                      <w:r w:rsidRPr="000A79B9">
                        <w:rPr>
                          <w:rFonts w:ascii="Open Sans" w:hAnsi="Open Sans" w:cs="Open Sans"/>
                          <w:sz w:val="18"/>
                          <w:szCs w:val="18"/>
                        </w:rPr>
                        <w:t>knyttet til å investere i næringsvirksomhet. Økt usikkerhet</w:t>
                      </w:r>
                      <w:r>
                        <w:rPr>
                          <w:rFonts w:ascii="Open Sans" w:hAnsi="Open Sans" w:cs="Open Sans"/>
                          <w:sz w:val="18"/>
                          <w:szCs w:val="18"/>
                        </w:rPr>
                        <w:t xml:space="preserve"> </w:t>
                      </w:r>
                      <w:r w:rsidRPr="000A79B9">
                        <w:rPr>
                          <w:rFonts w:ascii="Open Sans" w:hAnsi="Open Sans" w:cs="Open Sans"/>
                          <w:sz w:val="18"/>
                          <w:szCs w:val="18"/>
                        </w:rPr>
                        <w:t>vil kunne gi økte risikopremier i finansmarkedene</w:t>
                      </w:r>
                      <w:r>
                        <w:rPr>
                          <w:rFonts w:ascii="Open Sans" w:hAnsi="Open Sans" w:cs="Open Sans"/>
                          <w:sz w:val="18"/>
                          <w:szCs w:val="18"/>
                        </w:rPr>
                        <w:t xml:space="preserve"> </w:t>
                      </w:r>
                      <w:r w:rsidRPr="000A79B9">
                        <w:rPr>
                          <w:rFonts w:ascii="Open Sans" w:hAnsi="Open Sans" w:cs="Open Sans"/>
                          <w:sz w:val="18"/>
                          <w:szCs w:val="18"/>
                        </w:rPr>
                        <w:t>som igjen vil kunne forsterke de negative effektene på</w:t>
                      </w:r>
                      <w:r>
                        <w:rPr>
                          <w:rFonts w:ascii="Open Sans" w:hAnsi="Open Sans" w:cs="Open Sans"/>
                          <w:sz w:val="18"/>
                          <w:szCs w:val="18"/>
                        </w:rPr>
                        <w:t xml:space="preserve"> </w:t>
                      </w:r>
                      <w:r w:rsidRPr="000A79B9">
                        <w:rPr>
                          <w:rFonts w:ascii="Open Sans" w:hAnsi="Open Sans" w:cs="Open Sans"/>
                          <w:sz w:val="18"/>
                          <w:szCs w:val="18"/>
                        </w:rPr>
                        <w:t>økonomien gjennom lavere investeringer.</w:t>
                      </w:r>
                    </w:p>
                    <w:p w14:paraId="72D2DC15" w14:textId="77777777" w:rsidR="00C05827" w:rsidRPr="0014433C" w:rsidRDefault="00C05827" w:rsidP="00C05827">
                      <w:pPr>
                        <w:jc w:val="both"/>
                        <w:rPr>
                          <w:rFonts w:ascii="Open Sans" w:hAnsi="Open Sans" w:cs="Open Sans"/>
                          <w:b/>
                          <w:bCs/>
                          <w:sz w:val="16"/>
                          <w:szCs w:val="16"/>
                        </w:rPr>
                      </w:pPr>
                      <w:r w:rsidRPr="0014433C">
                        <w:rPr>
                          <w:rFonts w:ascii="Open Sans" w:hAnsi="Open Sans" w:cs="Open Sans"/>
                          <w:b/>
                          <w:bCs/>
                          <w:sz w:val="16"/>
                          <w:szCs w:val="16"/>
                        </w:rPr>
                        <w:t>Virkningstabellen: Makroøkonomiske hovedstørrelser, 2022-2024. Prosentvise avvik fra prognosebanen der ikke annet framgår</w:t>
                      </w:r>
                    </w:p>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1556"/>
                        <w:gridCol w:w="1415"/>
                        <w:gridCol w:w="1480"/>
                      </w:tblGrid>
                      <w:tr w:rsidR="00C05827" w:rsidRPr="0014433C" w14:paraId="3D038D42" w14:textId="77777777" w:rsidTr="003462C2">
                        <w:tc>
                          <w:tcPr>
                            <w:tcW w:w="4390" w:type="dxa"/>
                            <w:tcBorders>
                              <w:top w:val="single" w:sz="4" w:space="0" w:color="auto"/>
                              <w:bottom w:val="single" w:sz="4" w:space="0" w:color="auto"/>
                            </w:tcBorders>
                          </w:tcPr>
                          <w:p w14:paraId="1E52177E" w14:textId="77777777" w:rsidR="00C05827" w:rsidRPr="0014433C" w:rsidRDefault="00C05827" w:rsidP="00D11D67">
                            <w:pPr>
                              <w:spacing w:line="240" w:lineRule="auto"/>
                              <w:rPr>
                                <w:rFonts w:ascii="Open Sans" w:hAnsi="Open Sans" w:cs="Open Sans"/>
                                <w:sz w:val="16"/>
                                <w:szCs w:val="16"/>
                              </w:rPr>
                            </w:pPr>
                          </w:p>
                        </w:tc>
                        <w:tc>
                          <w:tcPr>
                            <w:tcW w:w="1559" w:type="dxa"/>
                            <w:tcBorders>
                              <w:top w:val="single" w:sz="4" w:space="0" w:color="auto"/>
                              <w:bottom w:val="single" w:sz="4" w:space="0" w:color="auto"/>
                            </w:tcBorders>
                          </w:tcPr>
                          <w:p w14:paraId="4E5BF066"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2022</w:t>
                            </w:r>
                          </w:p>
                        </w:tc>
                        <w:tc>
                          <w:tcPr>
                            <w:tcW w:w="1417" w:type="dxa"/>
                            <w:tcBorders>
                              <w:top w:val="single" w:sz="4" w:space="0" w:color="auto"/>
                              <w:bottom w:val="single" w:sz="4" w:space="0" w:color="auto"/>
                            </w:tcBorders>
                          </w:tcPr>
                          <w:p w14:paraId="382258AA"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2023</w:t>
                            </w:r>
                          </w:p>
                        </w:tc>
                        <w:tc>
                          <w:tcPr>
                            <w:tcW w:w="1482" w:type="dxa"/>
                            <w:tcBorders>
                              <w:top w:val="single" w:sz="4" w:space="0" w:color="auto"/>
                              <w:bottom w:val="single" w:sz="4" w:space="0" w:color="auto"/>
                            </w:tcBorders>
                          </w:tcPr>
                          <w:p w14:paraId="18B042E8" w14:textId="77777777" w:rsidR="00C05827" w:rsidRPr="0014433C" w:rsidRDefault="00C05827" w:rsidP="00D11D67">
                            <w:pPr>
                              <w:spacing w:line="240" w:lineRule="auto"/>
                              <w:jc w:val="center"/>
                              <w:rPr>
                                <w:rFonts w:ascii="Open Sans" w:hAnsi="Open Sans" w:cs="Open Sans"/>
                                <w:sz w:val="16"/>
                                <w:szCs w:val="16"/>
                              </w:rPr>
                            </w:pPr>
                            <w:r w:rsidRPr="0014433C">
                              <w:rPr>
                                <w:rFonts w:ascii="Open Sans" w:hAnsi="Open Sans" w:cs="Open Sans"/>
                                <w:sz w:val="16"/>
                                <w:szCs w:val="16"/>
                              </w:rPr>
                              <w:t>2024</w:t>
                            </w:r>
                          </w:p>
                        </w:tc>
                      </w:tr>
                      <w:tr w:rsidR="00C05827" w:rsidRPr="0014433C" w14:paraId="3F8CA845" w14:textId="77777777" w:rsidTr="00E56B2E">
                        <w:tc>
                          <w:tcPr>
                            <w:tcW w:w="4390" w:type="dxa"/>
                            <w:tcBorders>
                              <w:top w:val="single" w:sz="4" w:space="0" w:color="auto"/>
                            </w:tcBorders>
                            <w:shd w:val="clear" w:color="auto" w:fill="D9D9D9"/>
                          </w:tcPr>
                          <w:p w14:paraId="4C4EE1AF"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BNP Fastlands-Norge</w:t>
                            </w:r>
                          </w:p>
                        </w:tc>
                        <w:tc>
                          <w:tcPr>
                            <w:tcW w:w="1559" w:type="dxa"/>
                            <w:tcBorders>
                              <w:top w:val="single" w:sz="4" w:space="0" w:color="auto"/>
                            </w:tcBorders>
                            <w:shd w:val="clear" w:color="auto" w:fill="D9D9D9"/>
                          </w:tcPr>
                          <w:p w14:paraId="0934E612"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-0,5</w:t>
                            </w:r>
                          </w:p>
                        </w:tc>
                        <w:tc>
                          <w:tcPr>
                            <w:tcW w:w="1417" w:type="dxa"/>
                            <w:tcBorders>
                              <w:top w:val="single" w:sz="4" w:space="0" w:color="auto"/>
                            </w:tcBorders>
                            <w:shd w:val="clear" w:color="auto" w:fill="D9D9D9"/>
                          </w:tcPr>
                          <w:p w14:paraId="4D6AFECE"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-0,7</w:t>
                            </w:r>
                          </w:p>
                        </w:tc>
                        <w:tc>
                          <w:tcPr>
                            <w:tcW w:w="1482" w:type="dxa"/>
                            <w:tcBorders>
                              <w:top w:val="single" w:sz="4" w:space="0" w:color="auto"/>
                            </w:tcBorders>
                            <w:shd w:val="clear" w:color="auto" w:fill="D9D9D9"/>
                          </w:tcPr>
                          <w:p w14:paraId="1CBDFC81"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-0,5</w:t>
                            </w:r>
                          </w:p>
                        </w:tc>
                      </w:tr>
                      <w:tr w:rsidR="00C05827" w:rsidRPr="0014433C" w14:paraId="13DA7268" w14:textId="77777777" w:rsidTr="003462C2">
                        <w:tc>
                          <w:tcPr>
                            <w:tcW w:w="4390" w:type="dxa"/>
                          </w:tcPr>
                          <w:p w14:paraId="12203CE1"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Eksport – tradisjonelle varer</w:t>
                            </w:r>
                          </w:p>
                        </w:tc>
                        <w:tc>
                          <w:tcPr>
                            <w:tcW w:w="1559" w:type="dxa"/>
                          </w:tcPr>
                          <w:p w14:paraId="79CC4718"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-1,1</w:t>
                            </w:r>
                          </w:p>
                        </w:tc>
                        <w:tc>
                          <w:tcPr>
                            <w:tcW w:w="1417" w:type="dxa"/>
                          </w:tcPr>
                          <w:p w14:paraId="2CD06F3D"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82" w:type="dxa"/>
                          </w:tcPr>
                          <w:p w14:paraId="53483307"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5446B39D" w14:textId="77777777" w:rsidTr="00E56B2E">
                        <w:tc>
                          <w:tcPr>
                            <w:tcW w:w="4390" w:type="dxa"/>
                            <w:shd w:val="clear" w:color="auto" w:fill="D9D9D9"/>
                          </w:tcPr>
                          <w:p w14:paraId="3E63B19C"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Arbeidsledighet </w:t>
                            </w:r>
                            <w:r w:rsidRPr="0014433C">
                              <w:rPr>
                                <w:rFonts w:ascii="Open Sans" w:hAnsi="Open Sans" w:cs="Open Sans"/>
                                <w:sz w:val="16"/>
                                <w:szCs w:val="16"/>
                                <w:vertAlign w:val="superscript"/>
                              </w:rPr>
                              <w:t>1</w:t>
                            </w:r>
                          </w:p>
                        </w:tc>
                        <w:tc>
                          <w:tcPr>
                            <w:tcW w:w="1559" w:type="dxa"/>
                            <w:shd w:val="clear" w:color="auto" w:fill="D9D9D9"/>
                          </w:tcPr>
                          <w:p w14:paraId="11A17F7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17" w:type="dxa"/>
                            <w:shd w:val="clear" w:color="auto" w:fill="D9D9D9"/>
                          </w:tcPr>
                          <w:p w14:paraId="7BA4EC1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82" w:type="dxa"/>
                            <w:shd w:val="clear" w:color="auto" w:fill="D9D9D9"/>
                          </w:tcPr>
                          <w:p w14:paraId="0102676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0,0</w:t>
                            </w:r>
                          </w:p>
                        </w:tc>
                      </w:tr>
                      <w:tr w:rsidR="00C05827" w:rsidRPr="0014433C" w14:paraId="2316EE48" w14:textId="77777777" w:rsidTr="003462C2">
                        <w:tc>
                          <w:tcPr>
                            <w:tcW w:w="4390" w:type="dxa"/>
                          </w:tcPr>
                          <w:p w14:paraId="376560E8"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Konsum i husholdninger mv.</w:t>
                            </w:r>
                          </w:p>
                        </w:tc>
                        <w:tc>
                          <w:tcPr>
                            <w:tcW w:w="1559" w:type="dxa"/>
                          </w:tcPr>
                          <w:p w14:paraId="4743858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17" w:type="dxa"/>
                          </w:tcPr>
                          <w:p w14:paraId="0466D022"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82" w:type="dxa"/>
                          </w:tcPr>
                          <w:p w14:paraId="774B6963"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3E3ED325" w14:textId="77777777" w:rsidTr="00E56B2E">
                        <w:tc>
                          <w:tcPr>
                            <w:tcW w:w="4390" w:type="dxa"/>
                            <w:shd w:val="clear" w:color="auto" w:fill="D9D9D9"/>
                          </w:tcPr>
                          <w:p w14:paraId="41C0089D"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Næringsinvesteringer</w:t>
                            </w:r>
                          </w:p>
                        </w:tc>
                        <w:tc>
                          <w:tcPr>
                            <w:tcW w:w="1559" w:type="dxa"/>
                            <w:shd w:val="clear" w:color="auto" w:fill="D9D9D9"/>
                          </w:tcPr>
                          <w:p w14:paraId="7F173B4F"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-4,9</w:t>
                            </w:r>
                          </w:p>
                        </w:tc>
                        <w:tc>
                          <w:tcPr>
                            <w:tcW w:w="1417" w:type="dxa"/>
                            <w:shd w:val="clear" w:color="auto" w:fill="D9D9D9"/>
                          </w:tcPr>
                          <w:p w14:paraId="394B4275"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-7,9</w:t>
                            </w:r>
                          </w:p>
                        </w:tc>
                        <w:tc>
                          <w:tcPr>
                            <w:tcW w:w="1482" w:type="dxa"/>
                            <w:shd w:val="clear" w:color="auto" w:fill="D9D9D9"/>
                          </w:tcPr>
                          <w:p w14:paraId="1741469E"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-3,8</w:t>
                            </w:r>
                          </w:p>
                        </w:tc>
                      </w:tr>
                      <w:tr w:rsidR="00C05827" w:rsidRPr="0014433C" w14:paraId="3872E00C" w14:textId="77777777" w:rsidTr="003462C2">
                        <w:tc>
                          <w:tcPr>
                            <w:tcW w:w="4390" w:type="dxa"/>
                          </w:tcPr>
                          <w:p w14:paraId="0B3711AE"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 xml:space="preserve">Årslønn </w:t>
                            </w:r>
                          </w:p>
                        </w:tc>
                        <w:tc>
                          <w:tcPr>
                            <w:tcW w:w="1559" w:type="dxa"/>
                          </w:tcPr>
                          <w:p w14:paraId="5AADEE84"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c>
                          <w:tcPr>
                            <w:tcW w:w="1417" w:type="dxa"/>
                          </w:tcPr>
                          <w:p w14:paraId="5DA42188"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82" w:type="dxa"/>
                          </w:tcPr>
                          <w:p w14:paraId="7CA7479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38D46D6E" w14:textId="77777777" w:rsidTr="00E56B2E">
                        <w:tc>
                          <w:tcPr>
                            <w:tcW w:w="4390" w:type="dxa"/>
                            <w:shd w:val="clear" w:color="auto" w:fill="D9D9D9"/>
                          </w:tcPr>
                          <w:p w14:paraId="2A0A0500"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 xml:space="preserve">KPI </w:t>
                            </w:r>
                            <w:r w:rsidRPr="0014433C">
                              <w:rPr>
                                <w:rFonts w:ascii="Open Sans" w:hAnsi="Open Sans" w:cs="Open Sans"/>
                                <w:sz w:val="16"/>
                                <w:szCs w:val="16"/>
                                <w:vertAlign w:val="superscript"/>
                              </w:rPr>
                              <w:t>1</w:t>
                            </w:r>
                          </w:p>
                        </w:tc>
                        <w:tc>
                          <w:tcPr>
                            <w:tcW w:w="1559" w:type="dxa"/>
                            <w:shd w:val="clear" w:color="auto" w:fill="D9D9D9"/>
                          </w:tcPr>
                          <w:p w14:paraId="5D6EA644"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0,3</w:t>
                            </w:r>
                          </w:p>
                        </w:tc>
                        <w:tc>
                          <w:tcPr>
                            <w:tcW w:w="1417" w:type="dxa"/>
                            <w:shd w:val="clear" w:color="auto" w:fill="D9D9D9"/>
                          </w:tcPr>
                          <w:p w14:paraId="78ED73A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0,2</w:t>
                            </w:r>
                          </w:p>
                        </w:tc>
                        <w:tc>
                          <w:tcPr>
                            <w:tcW w:w="1482" w:type="dxa"/>
                            <w:shd w:val="clear" w:color="auto" w:fill="D9D9D9"/>
                          </w:tcPr>
                          <w:p w14:paraId="487B2F5A"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0,1</w:t>
                            </w:r>
                          </w:p>
                        </w:tc>
                      </w:tr>
                      <w:tr w:rsidR="00C05827" w:rsidRPr="0014433C" w14:paraId="3065DC0C" w14:textId="77777777" w:rsidTr="003462C2">
                        <w:tc>
                          <w:tcPr>
                            <w:tcW w:w="4390" w:type="dxa"/>
                          </w:tcPr>
                          <w:p w14:paraId="4876F7B7" w14:textId="77777777" w:rsidR="00C05827" w:rsidRPr="0014433C" w:rsidRDefault="00C05827" w:rsidP="00D11D67">
                            <w:pPr>
                              <w:spacing w:line="240" w:lineRule="auto"/>
                              <w:rPr>
                                <w:rFonts w:ascii="Open Sans" w:hAnsi="Open Sans" w:cs="Open Sans"/>
                                <w:sz w:val="16"/>
                                <w:szCs w:val="16"/>
                              </w:rPr>
                            </w:pPr>
                          </w:p>
                        </w:tc>
                        <w:tc>
                          <w:tcPr>
                            <w:tcW w:w="1559" w:type="dxa"/>
                          </w:tcPr>
                          <w:p w14:paraId="170A10C2" w14:textId="77777777" w:rsidR="00C05827" w:rsidRPr="0014433C" w:rsidRDefault="00C05827" w:rsidP="00D11D67">
                            <w:pPr>
                              <w:spacing w:line="240" w:lineRule="auto"/>
                              <w:jc w:val="center"/>
                              <w:rPr>
                                <w:rFonts w:ascii="Open Sans" w:hAnsi="Open Sans" w:cs="Open Sans"/>
                                <w:sz w:val="16"/>
                                <w:szCs w:val="16"/>
                              </w:rPr>
                            </w:pPr>
                          </w:p>
                        </w:tc>
                        <w:tc>
                          <w:tcPr>
                            <w:tcW w:w="1417" w:type="dxa"/>
                          </w:tcPr>
                          <w:p w14:paraId="78319DD1" w14:textId="77777777" w:rsidR="00C05827" w:rsidRPr="0014433C" w:rsidRDefault="00C05827" w:rsidP="00D11D67">
                            <w:pPr>
                              <w:spacing w:line="240" w:lineRule="auto"/>
                              <w:jc w:val="center"/>
                              <w:rPr>
                                <w:rFonts w:ascii="Open Sans" w:hAnsi="Open Sans" w:cs="Open Sans"/>
                                <w:sz w:val="16"/>
                                <w:szCs w:val="16"/>
                              </w:rPr>
                            </w:pPr>
                          </w:p>
                        </w:tc>
                        <w:tc>
                          <w:tcPr>
                            <w:tcW w:w="1482" w:type="dxa"/>
                          </w:tcPr>
                          <w:p w14:paraId="228055BC" w14:textId="77777777" w:rsidR="00C05827" w:rsidRPr="0014433C" w:rsidRDefault="00C05827" w:rsidP="00D11D67">
                            <w:pPr>
                              <w:spacing w:line="240" w:lineRule="auto"/>
                              <w:jc w:val="center"/>
                              <w:rPr>
                                <w:rFonts w:ascii="Open Sans" w:hAnsi="Open Sans" w:cs="Open Sans"/>
                                <w:sz w:val="16"/>
                                <w:szCs w:val="16"/>
                              </w:rPr>
                            </w:pPr>
                          </w:p>
                        </w:tc>
                      </w:tr>
                      <w:tr w:rsidR="00C05827" w:rsidRPr="0014433C" w14:paraId="231BF641" w14:textId="77777777" w:rsidTr="00E56B2E">
                        <w:tc>
                          <w:tcPr>
                            <w:tcW w:w="4390" w:type="dxa"/>
                            <w:shd w:val="clear" w:color="auto" w:fill="D9D9D9"/>
                          </w:tcPr>
                          <w:p w14:paraId="4EB78E87" w14:textId="77777777" w:rsidR="00C05827" w:rsidRPr="0014433C" w:rsidRDefault="00C05827" w:rsidP="00D11D67">
                            <w:pPr>
                              <w:spacing w:line="240" w:lineRule="auto"/>
                              <w:rPr>
                                <w:rFonts w:ascii="Open Sans" w:hAnsi="Open Sans" w:cs="Open Sans"/>
                                <w:b/>
                                <w:bCs/>
                                <w:sz w:val="16"/>
                                <w:szCs w:val="16"/>
                              </w:rPr>
                            </w:pPr>
                            <w:r w:rsidRPr="0014433C">
                              <w:rPr>
                                <w:rFonts w:ascii="Open Sans" w:hAnsi="Open Sans" w:cs="Open Sans"/>
                                <w:b/>
                                <w:bCs/>
                                <w:sz w:val="16"/>
                                <w:szCs w:val="16"/>
                              </w:rPr>
                              <w:t>Forutsetninger</w:t>
                            </w:r>
                          </w:p>
                        </w:tc>
                        <w:tc>
                          <w:tcPr>
                            <w:tcW w:w="1559" w:type="dxa"/>
                            <w:shd w:val="clear" w:color="auto" w:fill="D9D9D9"/>
                          </w:tcPr>
                          <w:p w14:paraId="72E3A689" w14:textId="77777777" w:rsidR="00C05827" w:rsidRPr="0014433C" w:rsidRDefault="00C05827" w:rsidP="00D11D67">
                            <w:pPr>
                              <w:spacing w:line="240" w:lineRule="auto"/>
                              <w:jc w:val="center"/>
                              <w:rPr>
                                <w:rFonts w:ascii="Open Sans" w:hAnsi="Open Sans" w:cs="Open Sans"/>
                                <w:sz w:val="16"/>
                                <w:szCs w:val="16"/>
                              </w:rPr>
                            </w:pPr>
                          </w:p>
                        </w:tc>
                        <w:tc>
                          <w:tcPr>
                            <w:tcW w:w="1417" w:type="dxa"/>
                            <w:shd w:val="clear" w:color="auto" w:fill="D9D9D9"/>
                          </w:tcPr>
                          <w:p w14:paraId="2278B947" w14:textId="77777777" w:rsidR="00C05827" w:rsidRPr="0014433C" w:rsidRDefault="00C05827" w:rsidP="00D11D67">
                            <w:pPr>
                              <w:spacing w:line="240" w:lineRule="auto"/>
                              <w:jc w:val="center"/>
                              <w:rPr>
                                <w:rFonts w:ascii="Open Sans" w:hAnsi="Open Sans" w:cs="Open Sans"/>
                                <w:sz w:val="16"/>
                                <w:szCs w:val="16"/>
                              </w:rPr>
                            </w:pPr>
                          </w:p>
                        </w:tc>
                        <w:tc>
                          <w:tcPr>
                            <w:tcW w:w="1482" w:type="dxa"/>
                            <w:shd w:val="clear" w:color="auto" w:fill="D9D9D9"/>
                          </w:tcPr>
                          <w:p w14:paraId="0C6894AA" w14:textId="77777777" w:rsidR="00C05827" w:rsidRPr="0014433C" w:rsidRDefault="00C05827" w:rsidP="00D11D67">
                            <w:pPr>
                              <w:spacing w:line="240" w:lineRule="auto"/>
                              <w:jc w:val="center"/>
                              <w:rPr>
                                <w:rFonts w:ascii="Open Sans" w:hAnsi="Open Sans" w:cs="Open Sans"/>
                                <w:sz w:val="16"/>
                                <w:szCs w:val="16"/>
                              </w:rPr>
                            </w:pPr>
                          </w:p>
                        </w:tc>
                      </w:tr>
                      <w:tr w:rsidR="00C05827" w:rsidRPr="0014433C" w14:paraId="0C5FF892" w14:textId="77777777" w:rsidTr="003462C2">
                        <w:tc>
                          <w:tcPr>
                            <w:tcW w:w="4390" w:type="dxa"/>
                          </w:tcPr>
                          <w:p w14:paraId="02C2F3CF" w14:textId="77777777" w:rsidR="00C05827" w:rsidRPr="0014433C" w:rsidRDefault="00C05827" w:rsidP="00D11D67">
                            <w:pPr>
                              <w:spacing w:line="240" w:lineRule="auto"/>
                              <w:rPr>
                                <w:rFonts w:ascii="Open Sans" w:hAnsi="Open Sans" w:cs="Open Sans"/>
                                <w:sz w:val="16"/>
                                <w:szCs w:val="16"/>
                              </w:rPr>
                            </w:pPr>
                            <w:r w:rsidRPr="0014433C">
                              <w:rPr>
                                <w:rFonts w:ascii="Open Sans" w:hAnsi="Open Sans" w:cs="Open Sans"/>
                                <w:sz w:val="16"/>
                                <w:szCs w:val="16"/>
                              </w:rPr>
                              <w:t>Eksportmarkedsindikator (MII)</w:t>
                            </w:r>
                          </w:p>
                        </w:tc>
                        <w:tc>
                          <w:tcPr>
                            <w:tcW w:w="1559" w:type="dxa"/>
                          </w:tcPr>
                          <w:p w14:paraId="0C0FF7A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-2,0</w:t>
                            </w:r>
                          </w:p>
                        </w:tc>
                        <w:tc>
                          <w:tcPr>
                            <w:tcW w:w="1417" w:type="dxa"/>
                          </w:tcPr>
                          <w:p w14:paraId="5B9CCF5C"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-0,6</w:t>
                            </w:r>
                          </w:p>
                        </w:tc>
                        <w:tc>
                          <w:tcPr>
                            <w:tcW w:w="1482" w:type="dxa"/>
                          </w:tcPr>
                          <w:p w14:paraId="29CBD966"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-0,4</w:t>
                            </w:r>
                          </w:p>
                        </w:tc>
                      </w:tr>
                      <w:tr w:rsidR="00C05827" w:rsidRPr="0014433C" w14:paraId="7A7EFA2A" w14:textId="77777777" w:rsidTr="00E56B2E">
                        <w:tc>
                          <w:tcPr>
                            <w:tcW w:w="4390" w:type="dxa"/>
                            <w:shd w:val="clear" w:color="auto" w:fill="D9D9D9"/>
                          </w:tcPr>
                          <w:p w14:paraId="58CFBCB3"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Konsumpris Euro-området </w:t>
                            </w:r>
                            <w:r w:rsidRPr="0014433C">
                              <w:rPr>
                                <w:rFonts w:ascii="Open Sans" w:hAnsi="Open Sans" w:cs="Open Sans"/>
                                <w:sz w:val="16"/>
                                <w:szCs w:val="16"/>
                                <w:vertAlign w:val="superscript"/>
                              </w:rPr>
                              <w:t>1</w:t>
                            </w:r>
                          </w:p>
                        </w:tc>
                        <w:tc>
                          <w:tcPr>
                            <w:tcW w:w="1559" w:type="dxa"/>
                            <w:shd w:val="clear" w:color="auto" w:fill="D9D9D9"/>
                          </w:tcPr>
                          <w:p w14:paraId="3486F9B1"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2,0</w:t>
                            </w:r>
                          </w:p>
                        </w:tc>
                        <w:tc>
                          <w:tcPr>
                            <w:tcW w:w="1417" w:type="dxa"/>
                            <w:shd w:val="clear" w:color="auto" w:fill="D9D9D9"/>
                          </w:tcPr>
                          <w:p w14:paraId="3925CCE6"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0,6</w:t>
                            </w:r>
                          </w:p>
                        </w:tc>
                        <w:tc>
                          <w:tcPr>
                            <w:tcW w:w="1482" w:type="dxa"/>
                            <w:shd w:val="clear" w:color="auto" w:fill="D9D9D9"/>
                          </w:tcPr>
                          <w:p w14:paraId="7A3265F9" w14:textId="77777777" w:rsidR="00C05827" w:rsidRPr="0014433C" w:rsidRDefault="00C05827" w:rsidP="00D11D67">
                            <w:pPr>
                              <w:spacing w:line="240" w:lineRule="auto"/>
                              <w:jc w:val="center"/>
                              <w:rPr>
                                <w:rFonts w:ascii="Open Sans" w:hAnsi="Open Sans" w:cs="Open Sans"/>
                                <w:sz w:val="16"/>
                                <w:szCs w:val="16"/>
                              </w:rPr>
                            </w:pPr>
                            <w:r>
                              <w:rPr>
                                <w:rFonts w:ascii="Open Sans" w:hAnsi="Open Sans" w:cs="Open Sans"/>
                                <w:sz w:val="16"/>
                                <w:szCs w:val="16"/>
                              </w:rPr>
                              <w:t>0,0</w:t>
                            </w:r>
                          </w:p>
                        </w:tc>
                      </w:tr>
                      <w:tr w:rsidR="00C05827" w:rsidRPr="0014433C" w14:paraId="44480948" w14:textId="77777777" w:rsidTr="003462C2">
                        <w:tc>
                          <w:tcPr>
                            <w:tcW w:w="4390" w:type="dxa"/>
                          </w:tcPr>
                          <w:p w14:paraId="74500F12" w14:textId="77777777" w:rsidR="00C05827" w:rsidRPr="006E44B2" w:rsidRDefault="00C05827" w:rsidP="00D11D67">
                            <w:pPr>
                              <w:spacing w:line="240" w:lineRule="auto"/>
                              <w:rPr>
                                <w:rFonts w:ascii="Open Sans" w:hAnsi="Open Sans" w:cs="Open Sans"/>
                                <w:sz w:val="16"/>
                                <w:szCs w:val="16"/>
                                <w:lang w:val="en-US"/>
                              </w:rPr>
                            </w:pPr>
                            <w:proofErr w:type="spellStart"/>
                            <w:r w:rsidRPr="006E44B2">
                              <w:rPr>
                                <w:rFonts w:ascii="Open Sans" w:hAnsi="Open Sans" w:cs="Open Sans"/>
                                <w:sz w:val="16"/>
                                <w:szCs w:val="16"/>
                                <w:lang w:val="en-US"/>
                              </w:rPr>
                              <w:t>Råoljepris</w:t>
                            </w:r>
                            <w:proofErr w:type="spellEnd"/>
                            <w:r w:rsidRPr="006E44B2">
                              <w:rPr>
                                <w:rFonts w:ascii="Open Sans" w:hAnsi="Open Sans" w:cs="Open Sans"/>
                                <w:sz w:val="16"/>
                                <w:szCs w:val="16"/>
                                <w:lang w:val="en-US"/>
                              </w:rPr>
                              <w:t xml:space="preserve"> per fat </w:t>
                            </w:r>
                            <w:proofErr w:type="spellStart"/>
                            <w:r w:rsidRPr="006E44B2">
                              <w:rPr>
                                <w:rFonts w:ascii="Open Sans" w:hAnsi="Open Sans" w:cs="Open Sans"/>
                                <w:sz w:val="16"/>
                                <w:szCs w:val="16"/>
                                <w:lang w:val="en-US"/>
                              </w:rPr>
                              <w:t>i</w:t>
                            </w:r>
                            <w:proofErr w:type="spellEnd"/>
                            <w:r w:rsidRPr="006E44B2">
                              <w:rPr>
                                <w:rFonts w:ascii="Open Sans" w:hAnsi="Open Sans" w:cs="Open Sans"/>
                                <w:sz w:val="16"/>
                                <w:szCs w:val="16"/>
                                <w:lang w:val="en-US"/>
                              </w:rPr>
                              <w:t xml:space="preserve"> dollar </w:t>
                            </w:r>
                            <w:r w:rsidRPr="006E44B2">
                              <w:rPr>
                                <w:rFonts w:ascii="Open Sans" w:hAnsi="Open Sans" w:cs="Open Sans"/>
                                <w:sz w:val="16"/>
                                <w:szCs w:val="16"/>
                                <w:vertAlign w:val="superscript"/>
                                <w:lang w:val="en-US"/>
                              </w:rPr>
                              <w:t>2</w:t>
                            </w:r>
                            <w:r w:rsidRPr="006E44B2">
                              <w:rPr>
                                <w:rFonts w:ascii="Open Sans" w:hAnsi="Open Sans" w:cs="Open Sans"/>
                                <w:sz w:val="16"/>
                                <w:szCs w:val="16"/>
                                <w:lang w:val="en-US"/>
                              </w:rPr>
                              <w:t xml:space="preserve"> </w:t>
                            </w:r>
                          </w:p>
                        </w:tc>
                        <w:tc>
                          <w:tcPr>
                            <w:tcW w:w="1559" w:type="dxa"/>
                          </w:tcPr>
                          <w:p w14:paraId="3E5F2272"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17" w:type="dxa"/>
                          </w:tcPr>
                          <w:p w14:paraId="62B94175"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5</w:t>
                            </w:r>
                          </w:p>
                        </w:tc>
                        <w:tc>
                          <w:tcPr>
                            <w:tcW w:w="1482" w:type="dxa"/>
                          </w:tcPr>
                          <w:p w14:paraId="781121BB"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0</w:t>
                            </w:r>
                          </w:p>
                        </w:tc>
                      </w:tr>
                      <w:tr w:rsidR="00C05827" w:rsidRPr="0014433C" w14:paraId="3283B5FA" w14:textId="77777777" w:rsidTr="00E56B2E">
                        <w:tc>
                          <w:tcPr>
                            <w:tcW w:w="4390" w:type="dxa"/>
                            <w:tcBorders>
                              <w:bottom w:val="single" w:sz="4" w:space="0" w:color="auto"/>
                            </w:tcBorders>
                            <w:shd w:val="clear" w:color="auto" w:fill="D9D9D9"/>
                          </w:tcPr>
                          <w:p w14:paraId="1A98DCDC" w14:textId="77777777" w:rsidR="00C05827" w:rsidRPr="0014433C" w:rsidRDefault="00C05827" w:rsidP="00D11D67">
                            <w:pPr>
                              <w:spacing w:line="240" w:lineRule="auto"/>
                              <w:rPr>
                                <w:rFonts w:ascii="Open Sans" w:hAnsi="Open Sans" w:cs="Open Sans"/>
                                <w:sz w:val="16"/>
                                <w:szCs w:val="16"/>
                                <w:vertAlign w:val="superscript"/>
                              </w:rPr>
                            </w:pPr>
                            <w:r w:rsidRPr="0014433C">
                              <w:rPr>
                                <w:rFonts w:ascii="Open Sans" w:hAnsi="Open Sans" w:cs="Open Sans"/>
                                <w:sz w:val="16"/>
                                <w:szCs w:val="16"/>
                              </w:rPr>
                              <w:t xml:space="preserve">Risikopremie </w:t>
                            </w:r>
                            <w:r w:rsidRPr="0014433C">
                              <w:rPr>
                                <w:rFonts w:ascii="Open Sans" w:hAnsi="Open Sans" w:cs="Open Sans"/>
                                <w:sz w:val="16"/>
                                <w:szCs w:val="16"/>
                                <w:vertAlign w:val="superscript"/>
                              </w:rPr>
                              <w:t>1</w:t>
                            </w:r>
                          </w:p>
                        </w:tc>
                        <w:tc>
                          <w:tcPr>
                            <w:tcW w:w="1559" w:type="dxa"/>
                            <w:tcBorders>
                              <w:bottom w:val="single" w:sz="4" w:space="0" w:color="auto"/>
                            </w:tcBorders>
                            <w:shd w:val="clear" w:color="auto" w:fill="D9D9D9"/>
                          </w:tcPr>
                          <w:p w14:paraId="755DA542"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17" w:type="dxa"/>
                            <w:tcBorders>
                              <w:bottom w:val="single" w:sz="4" w:space="0" w:color="auto"/>
                            </w:tcBorders>
                            <w:shd w:val="clear" w:color="auto" w:fill="D9D9D9"/>
                          </w:tcPr>
                          <w:p w14:paraId="2499BDCE"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1,0</w:t>
                            </w:r>
                          </w:p>
                        </w:tc>
                        <w:tc>
                          <w:tcPr>
                            <w:tcW w:w="1482" w:type="dxa"/>
                            <w:tcBorders>
                              <w:bottom w:val="single" w:sz="4" w:space="0" w:color="auto"/>
                            </w:tcBorders>
                            <w:shd w:val="clear" w:color="auto" w:fill="D9D9D9"/>
                          </w:tcPr>
                          <w:p w14:paraId="39133FCF" w14:textId="77777777" w:rsidR="00C05827" w:rsidRPr="0014433C" w:rsidRDefault="00C05827" w:rsidP="00D11D67">
                            <w:pPr>
                              <w:spacing w:line="240" w:lineRule="auto"/>
                              <w:jc w:val="center"/>
                              <w:rPr>
                                <w:rFonts w:ascii="Open Sans" w:hAnsi="Open Sans" w:cs="Open Sans"/>
                                <w:sz w:val="16"/>
                                <w:szCs w:val="16"/>
                                <w:lang w:val="en-GB"/>
                              </w:rPr>
                            </w:pPr>
                            <w:r>
                              <w:rPr>
                                <w:rFonts w:ascii="Open Sans" w:hAnsi="Open Sans" w:cs="Open Sans"/>
                                <w:sz w:val="16"/>
                                <w:szCs w:val="16"/>
                                <w:lang w:val="en-GB"/>
                              </w:rPr>
                              <w:t>0,0</w:t>
                            </w:r>
                          </w:p>
                        </w:tc>
                      </w:tr>
                    </w:tbl>
                    <w:p w14:paraId="01E90021" w14:textId="77777777" w:rsidR="00C05827" w:rsidRPr="0014433C" w:rsidRDefault="00C05827" w:rsidP="00C05827">
                      <w:pPr>
                        <w:adjustRightInd w:val="0"/>
                        <w:snapToGrid w:val="0"/>
                        <w:spacing w:before="40"/>
                        <w:rPr>
                          <w:sz w:val="16"/>
                          <w:szCs w:val="16"/>
                        </w:rPr>
                      </w:pPr>
                      <w:r w:rsidRPr="0014433C">
                        <w:rPr>
                          <w:sz w:val="16"/>
                          <w:szCs w:val="16"/>
                          <w:vertAlign w:val="superscript"/>
                        </w:rPr>
                        <w:t xml:space="preserve">1 </w:t>
                      </w:r>
                      <w:r w:rsidRPr="0014433C">
                        <w:rPr>
                          <w:sz w:val="16"/>
                          <w:szCs w:val="16"/>
                        </w:rPr>
                        <w:t xml:space="preserve">Avviket er oppgitt i prosentpoeng.   </w:t>
                      </w:r>
                      <w:r w:rsidRPr="0014433C">
                        <w:rPr>
                          <w:sz w:val="16"/>
                          <w:szCs w:val="16"/>
                          <w:vertAlign w:val="superscript"/>
                        </w:rPr>
                        <w:t>2</w:t>
                      </w:r>
                      <w:r w:rsidRPr="0014433C">
                        <w:rPr>
                          <w:sz w:val="16"/>
                          <w:szCs w:val="16"/>
                        </w:rPr>
                        <w:t xml:space="preserve"> Avviket er oppgitt i dollar.</w:t>
                      </w:r>
                    </w:p>
                    <w:p w14:paraId="62B6B054" w14:textId="77777777" w:rsidR="00C05827" w:rsidRDefault="00C05827" w:rsidP="00C05827">
                      <w:pPr>
                        <w:rPr>
                          <w:sz w:val="14"/>
                          <w:szCs w:val="14"/>
                        </w:rPr>
                      </w:pPr>
                    </w:p>
                    <w:p w14:paraId="15976528" w14:textId="77777777" w:rsidR="00C05827" w:rsidRPr="0014433C" w:rsidRDefault="00C05827" w:rsidP="00C05827">
                      <w:pPr>
                        <w:rPr>
                          <w:rFonts w:ascii="Open Sans" w:hAnsi="Open Sans" w:cs="Open Sans"/>
                          <w:sz w:val="18"/>
                          <w:szCs w:val="18"/>
                        </w:rPr>
                      </w:pPr>
                      <w:r w:rsidRPr="0014433C">
                        <w:rPr>
                          <w:rFonts w:ascii="Open Sans" w:hAnsi="Open Sans" w:cs="Open Sans"/>
                          <w:sz w:val="18"/>
                          <w:szCs w:val="18"/>
                        </w:rPr>
                        <w:t>Alt i alt vil BNP Fastlands-Norge i alternativbanen være</w:t>
                      </w:r>
                      <w:r>
                        <w:rPr>
                          <w:rFonts w:ascii="Open Sans" w:hAnsi="Open Sans" w:cs="Open Sans"/>
                          <w:sz w:val="18"/>
                          <w:szCs w:val="18"/>
                        </w:rPr>
                        <w:t xml:space="preserve"> </w:t>
                      </w:r>
                      <w:r w:rsidRPr="0014433C">
                        <w:rPr>
                          <w:rFonts w:ascii="Open Sans" w:hAnsi="Open Sans" w:cs="Open Sans"/>
                          <w:sz w:val="18"/>
                          <w:szCs w:val="18"/>
                        </w:rPr>
                        <w:t>0,5 prosent lavere i 2022 og 0,7 prosent lavere i 2023.</w:t>
                      </w:r>
                    </w:p>
                  </w:txbxContent>
                </v:textbox>
                <w10:wrap anchorx="margin"/>
              </v:shape>
            </w:pict>
          </mc:Fallback>
        </mc:AlternateContent>
      </w:r>
    </w:p>
    <w:p w14:paraId="1354FB04" w14:textId="207206F0" w:rsidR="00912114" w:rsidRDefault="00912114" w:rsidP="00912114">
      <w:pPr>
        <w:pStyle w:val="Overskrift1"/>
      </w:pPr>
      <w:bookmarkStart w:id="3" w:name="_Toc103066735"/>
      <w:r>
        <w:lastRenderedPageBreak/>
        <w:t>Situasjonen på arbeidsmarkedet</w:t>
      </w:r>
      <w:bookmarkEnd w:id="3"/>
    </w:p>
    <w:p w14:paraId="59CE1B3C" w14:textId="475BEC79" w:rsidR="00723672" w:rsidRPr="00723672" w:rsidRDefault="00723672" w:rsidP="00723672">
      <w:pPr>
        <w:pStyle w:val="Mellomtittel"/>
        <w:rPr>
          <w:b w:val="0"/>
          <w:bCs/>
          <w:sz w:val="22"/>
          <w:szCs w:val="22"/>
        </w:rPr>
      </w:pPr>
      <w:r w:rsidRPr="00723672">
        <w:rPr>
          <w:b w:val="0"/>
          <w:bCs/>
          <w:sz w:val="22"/>
          <w:szCs w:val="22"/>
        </w:rPr>
        <w:t>Andelen helt arbeidsløse</w:t>
      </w:r>
      <w:r w:rsidRPr="00723672">
        <w:rPr>
          <w:rStyle w:val="Fotnotereferanse"/>
          <w:b w:val="0"/>
          <w:bCs/>
          <w:sz w:val="22"/>
          <w:szCs w:val="22"/>
        </w:rPr>
        <w:footnoteReference w:id="4"/>
      </w:r>
      <w:r w:rsidRPr="00723672">
        <w:rPr>
          <w:b w:val="0"/>
          <w:bCs/>
          <w:sz w:val="22"/>
          <w:szCs w:val="22"/>
        </w:rPr>
        <w:t xml:space="preserve"> økte kraftig i mars 2020, forble høy frem til juni 2021 og falt deretter kraftig. I februar 2022 utgjorde den 3,1 pst. av arbeidsstyrken, ifølge Arbeidskraftundersøkelsen (AKU) til SSB. Antallet helt arbeidsløse registrert hos NAV økte kraftig i mars 2020, falt kraftig frem til sommeren og var deretter relativt stabil frem til april 2021. Siden har det falt gradvis, og var i april 2022 (53 900) </w:t>
      </w:r>
      <w:proofErr w:type="gramStart"/>
      <w:r w:rsidRPr="00723672">
        <w:rPr>
          <w:b w:val="0"/>
          <w:bCs/>
          <w:sz w:val="22"/>
          <w:szCs w:val="22"/>
        </w:rPr>
        <w:t>det laveste siden</w:t>
      </w:r>
      <w:proofErr w:type="gramEnd"/>
      <w:r w:rsidRPr="00723672">
        <w:rPr>
          <w:b w:val="0"/>
          <w:bCs/>
          <w:sz w:val="22"/>
          <w:szCs w:val="22"/>
        </w:rPr>
        <w:t xml:space="preserve"> november 2008.</w:t>
      </w:r>
      <w:r w:rsidRPr="00723672">
        <w:rPr>
          <w:rStyle w:val="Fotnotereferanse"/>
          <w:b w:val="0"/>
          <w:bCs/>
          <w:sz w:val="22"/>
          <w:szCs w:val="22"/>
        </w:rPr>
        <w:footnoteReference w:id="5"/>
      </w:r>
      <w:r w:rsidRPr="00723672">
        <w:rPr>
          <w:b w:val="0"/>
          <w:bCs/>
          <w:sz w:val="22"/>
          <w:szCs w:val="22"/>
        </w:rPr>
        <w:t xml:space="preserve"> Vi antar at etterspørselen etter arbeidskraft forblir høy og anslår at AKU-ledigheten i snitt blir 3,5 pst. i 2022 og blir på det nivået i 2023. </w:t>
      </w:r>
    </w:p>
    <w:p w14:paraId="0386B875" w14:textId="46F627A7" w:rsidR="00723672" w:rsidRDefault="00166CBD" w:rsidP="00893E09">
      <w:pPr>
        <w:pStyle w:val="Mellomtittel"/>
        <w:rPr>
          <w:b w:val="0"/>
          <w:bCs/>
          <w:sz w:val="22"/>
          <w:szCs w:val="22"/>
        </w:rPr>
      </w:pPr>
      <w:r w:rsidRPr="00723672">
        <w:rPr>
          <w:i/>
          <w:iCs/>
          <w:noProof/>
          <w:sz w:val="22"/>
          <w:szCs w:val="24"/>
        </w:rPr>
        <w:drawing>
          <wp:anchor distT="0" distB="0" distL="114300" distR="114300" simplePos="0" relativeHeight="251658241" behindDoc="1" locked="0" layoutInCell="1" allowOverlap="1" wp14:anchorId="66166BF3" wp14:editId="2BF7BABB">
            <wp:simplePos x="0" y="0"/>
            <wp:positionH relativeFrom="margin">
              <wp:posOffset>-733425</wp:posOffset>
            </wp:positionH>
            <wp:positionV relativeFrom="paragraph">
              <wp:posOffset>2187575</wp:posOffset>
            </wp:positionV>
            <wp:extent cx="3483610" cy="2756535"/>
            <wp:effectExtent l="0" t="0" r="2540" b="5715"/>
            <wp:wrapTight wrapText="bothSides">
              <wp:wrapPolygon edited="0">
                <wp:start x="0" y="0"/>
                <wp:lineTo x="0" y="21496"/>
                <wp:lineTo x="21498" y="21496"/>
                <wp:lineTo x="21498" y="0"/>
                <wp:lineTo x="0" y="0"/>
              </wp:wrapPolygon>
            </wp:wrapTight>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723672">
        <w:rPr>
          <w:b w:val="0"/>
          <w:bCs/>
          <w:i/>
          <w:iCs/>
          <w:noProof/>
          <w:sz w:val="22"/>
          <w:szCs w:val="24"/>
        </w:rPr>
        <w:drawing>
          <wp:anchor distT="0" distB="0" distL="114300" distR="114300" simplePos="0" relativeHeight="251658240" behindDoc="1" locked="0" layoutInCell="1" allowOverlap="1" wp14:anchorId="1C2675A9" wp14:editId="602D99B9">
            <wp:simplePos x="0" y="0"/>
            <wp:positionH relativeFrom="page">
              <wp:posOffset>3804285</wp:posOffset>
            </wp:positionH>
            <wp:positionV relativeFrom="paragraph">
              <wp:posOffset>2189480</wp:posOffset>
            </wp:positionV>
            <wp:extent cx="3613150" cy="2700020"/>
            <wp:effectExtent l="0" t="0" r="6350" b="5080"/>
            <wp:wrapTight wrapText="bothSides">
              <wp:wrapPolygon edited="0">
                <wp:start x="0" y="0"/>
                <wp:lineTo x="0" y="21488"/>
                <wp:lineTo x="21524" y="21488"/>
                <wp:lineTo x="21524" y="0"/>
                <wp:lineTo x="0" y="0"/>
              </wp:wrapPolygon>
            </wp:wrapTight>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723672" w:rsidRPr="00723672">
        <w:rPr>
          <w:b w:val="0"/>
          <w:bCs/>
          <w:sz w:val="22"/>
          <w:szCs w:val="22"/>
        </w:rPr>
        <w:t>Arbeidssøkernes sammensetning har endret seg mye i løpet av pandemien. I mars 2020 var 257 400 permittert. I april 2022 gjensto det kun 8 500 permitterte.</w:t>
      </w:r>
      <w:r w:rsidR="00723672" w:rsidRPr="00723672">
        <w:rPr>
          <w:rStyle w:val="Fotnotereferanse"/>
          <w:b w:val="0"/>
          <w:bCs/>
          <w:sz w:val="22"/>
          <w:szCs w:val="22"/>
        </w:rPr>
        <w:footnoteReference w:id="6"/>
      </w:r>
      <w:r w:rsidR="00723672" w:rsidRPr="00723672">
        <w:rPr>
          <w:b w:val="0"/>
          <w:bCs/>
          <w:sz w:val="22"/>
          <w:szCs w:val="22"/>
        </w:rPr>
        <w:t xml:space="preserve">  Antallet langtidsarbeidssøkere økte frem til høsten 2020, og falt deretter gradvis fra tidlig på sommeren 2021. I april 2022 har nesten halvparten vært arbeidssøker i over ett år og nesten en fjerdedel i mer enn to år. Samtidig var det 3 200 flere delvis ledige (27 500) enn i februar 2020. En av fire av de delvis ledige jobber i reiseliv og transport eller butikk- og salgsarbeid. At antallet delvis ledige har holdt seg høyt til tross for sterk sysselsettingsvekst, kan være knyttet til lave stillingsbrøker i nye jobbe</w:t>
      </w:r>
      <w:r w:rsidR="00953783">
        <w:rPr>
          <w:b w:val="0"/>
          <w:bCs/>
          <w:sz w:val="22"/>
          <w:szCs w:val="22"/>
        </w:rPr>
        <w:t>r</w:t>
      </w:r>
      <w:r w:rsidR="00723672" w:rsidRPr="00723672">
        <w:rPr>
          <w:b w:val="0"/>
          <w:bCs/>
          <w:sz w:val="22"/>
          <w:szCs w:val="22"/>
        </w:rPr>
        <w:t xml:space="preserve"> og at flere næringer ikke har hatt full gjenopphenting. Foreløpige SSB-tall tyder også på at midlertidigheten økte i 2021.</w:t>
      </w:r>
    </w:p>
    <w:p w14:paraId="006F4297" w14:textId="77777777" w:rsidR="00166CBD" w:rsidRPr="00166CBD" w:rsidRDefault="00166CBD" w:rsidP="00166CBD">
      <w:pPr>
        <w:rPr>
          <w:lang w:eastAsia="nb-NO"/>
        </w:rPr>
      </w:pPr>
    </w:p>
    <w:p w14:paraId="3CC74288" w14:textId="4558011A" w:rsidR="00723672" w:rsidRPr="00EA42C4" w:rsidRDefault="00EA42C4" w:rsidP="00723672">
      <w:pPr>
        <w:jc w:val="center"/>
        <w:rPr>
          <w:lang w:eastAsia="nb-NO"/>
        </w:rPr>
      </w:pPr>
      <w:r w:rsidRPr="00EA42C4">
        <w:rPr>
          <w:lang w:eastAsia="nb-NO"/>
        </w:rPr>
        <w:t>Kilde: SSB</w:t>
      </w:r>
    </w:p>
    <w:p w14:paraId="148B4325" w14:textId="77777777" w:rsidR="00EA42C4" w:rsidRDefault="00EA42C4" w:rsidP="00723672">
      <w:pPr>
        <w:jc w:val="center"/>
        <w:rPr>
          <w:b/>
          <w:bCs/>
          <w:sz w:val="22"/>
          <w:szCs w:val="24"/>
          <w:lang w:eastAsia="nb-NO"/>
        </w:rPr>
      </w:pPr>
    </w:p>
    <w:p w14:paraId="625F1494" w14:textId="5C2F1025" w:rsidR="00723672" w:rsidRPr="00723672" w:rsidRDefault="00723672" w:rsidP="00723672">
      <w:pPr>
        <w:jc w:val="center"/>
        <w:rPr>
          <w:b/>
          <w:bCs/>
          <w:sz w:val="22"/>
          <w:szCs w:val="24"/>
          <w:lang w:eastAsia="nb-NO"/>
        </w:rPr>
      </w:pPr>
      <w:r w:rsidRPr="00723672">
        <w:rPr>
          <w:b/>
          <w:bCs/>
          <w:sz w:val="22"/>
          <w:szCs w:val="24"/>
          <w:lang w:eastAsia="nb-NO"/>
        </w:rPr>
        <w:t>Arbeidsløsheten</w:t>
      </w:r>
      <w:r w:rsidRPr="00723672">
        <w:rPr>
          <w:rStyle w:val="Fotnotereferanse"/>
          <w:b/>
          <w:bCs/>
          <w:sz w:val="22"/>
          <w:szCs w:val="24"/>
          <w:lang w:eastAsia="nb-NO"/>
        </w:rPr>
        <w:footnoteReference w:id="7"/>
      </w:r>
      <w:r w:rsidRPr="00723672">
        <w:rPr>
          <w:b/>
          <w:bCs/>
          <w:sz w:val="22"/>
          <w:szCs w:val="24"/>
          <w:lang w:eastAsia="nb-NO"/>
        </w:rPr>
        <w:t xml:space="preserve"> gjennom koronakrisen</w:t>
      </w:r>
    </w:p>
    <w:p w14:paraId="74A554D1" w14:textId="77777777" w:rsidR="00723672" w:rsidRPr="00723672" w:rsidRDefault="00723672" w:rsidP="00723672">
      <w:pPr>
        <w:pStyle w:val="Mellomtittel"/>
        <w:jc w:val="center"/>
        <w:rPr>
          <w:b w:val="0"/>
          <w:bCs/>
          <w:sz w:val="22"/>
          <w:szCs w:val="22"/>
        </w:rPr>
      </w:pPr>
      <w:r w:rsidRPr="00723672">
        <w:rPr>
          <w:b w:val="0"/>
          <w:bCs/>
          <w:noProof/>
          <w:sz w:val="22"/>
          <w:szCs w:val="22"/>
        </w:rPr>
        <w:drawing>
          <wp:inline distT="0" distB="0" distL="0" distR="0" wp14:anchorId="58B8C443" wp14:editId="434E3194">
            <wp:extent cx="5486400" cy="2116394"/>
            <wp:effectExtent l="0" t="0" r="0" b="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B3DB14" w14:textId="77777777" w:rsidR="00723672" w:rsidRPr="00723672" w:rsidRDefault="00723672" w:rsidP="00723672">
      <w:pPr>
        <w:jc w:val="center"/>
        <w:rPr>
          <w:szCs w:val="20"/>
          <w:lang w:eastAsia="nb-NO"/>
        </w:rPr>
      </w:pPr>
      <w:r w:rsidRPr="00723672">
        <w:rPr>
          <w:szCs w:val="20"/>
          <w:lang w:eastAsia="nb-NO"/>
        </w:rPr>
        <w:t>Kilde: NAV.</w:t>
      </w:r>
    </w:p>
    <w:p w14:paraId="5FE83933" w14:textId="06049F2A" w:rsidR="00723672" w:rsidRPr="00723672" w:rsidRDefault="00723672" w:rsidP="00723672">
      <w:pPr>
        <w:pStyle w:val="Mellomtittel"/>
        <w:rPr>
          <w:b w:val="0"/>
          <w:bCs/>
          <w:sz w:val="22"/>
          <w:szCs w:val="22"/>
        </w:rPr>
      </w:pPr>
      <w:bookmarkStart w:id="4" w:name="_Hlk101522403"/>
      <w:r w:rsidRPr="00723672">
        <w:rPr>
          <w:b w:val="0"/>
          <w:bCs/>
          <w:sz w:val="22"/>
          <w:szCs w:val="22"/>
        </w:rPr>
        <w:t>Etter et kraftig fall fra mars til mai 2020, har sysselsettingsraten økt igjen siden mai 2021 og var i februar 2022 på sitt høyeste nivå siden oktober 2009, ifølge Arbeidskraftundersøkelsen (AKU).</w:t>
      </w:r>
      <w:r w:rsidRPr="00723672">
        <w:rPr>
          <w:rStyle w:val="Fotnotereferanse"/>
          <w:b w:val="0"/>
          <w:bCs/>
          <w:sz w:val="22"/>
          <w:szCs w:val="22"/>
        </w:rPr>
        <w:footnoteReference w:id="8"/>
      </w:r>
      <w:r w:rsidRPr="00723672">
        <w:rPr>
          <w:b w:val="0"/>
          <w:bCs/>
          <w:sz w:val="22"/>
          <w:szCs w:val="22"/>
        </w:rPr>
        <w:t xml:space="preserve"> Sysselsettingsveksten var spesielt sterk blant unge i alderen 15-24 år. Andelen sysselsatte unge var 54,5 pst. i februar 2022, den høyeste siden mars 2009. Også de med kun grunnskoleutdanning opplevde betydelig sysselsettingsvekst. Sysselsettingsandelen blant innvandrere var i 4. kvartal 2021 den høyeste i måleperioden 2001-2021(65,1 pst.), med særlig sterk økning blant innvandrere fra afrikanske land</w:t>
      </w:r>
      <w:r w:rsidRPr="00723672">
        <w:rPr>
          <w:rStyle w:val="Fotnotereferanse"/>
          <w:b w:val="0"/>
          <w:bCs/>
          <w:sz w:val="22"/>
          <w:szCs w:val="22"/>
        </w:rPr>
        <w:footnoteReference w:id="9"/>
      </w:r>
      <w:r w:rsidRPr="00723672">
        <w:rPr>
          <w:b w:val="0"/>
          <w:bCs/>
          <w:sz w:val="22"/>
          <w:szCs w:val="22"/>
        </w:rPr>
        <w:t xml:space="preserve">. Sysselsettingsandelen blant innvandrere fra EU-land i Øst-Europa falt først i 2020, men steg til 72,3 i 2021, omtrent tilbake til 2019-nivået. </w:t>
      </w:r>
    </w:p>
    <w:p w14:paraId="6AE73670" w14:textId="7F0082C7" w:rsidR="00723672" w:rsidRPr="00723672" w:rsidRDefault="00DF6954" w:rsidP="00723672">
      <w:pPr>
        <w:pStyle w:val="Mellomtittel"/>
        <w:rPr>
          <w:b w:val="0"/>
          <w:bCs/>
          <w:sz w:val="22"/>
          <w:szCs w:val="22"/>
        </w:rPr>
      </w:pPr>
      <w:r>
        <w:rPr>
          <w:b w:val="0"/>
          <w:bCs/>
          <w:sz w:val="22"/>
          <w:szCs w:val="22"/>
        </w:rPr>
        <w:t>Fra 4. kvartal 2019 til 4. kvartal 2021</w:t>
      </w:r>
      <w:r w:rsidR="00723672" w:rsidRPr="00723672">
        <w:rPr>
          <w:b w:val="0"/>
          <w:bCs/>
          <w:sz w:val="22"/>
          <w:szCs w:val="22"/>
        </w:rPr>
        <w:t xml:space="preserve"> falt antallet utenlandske pendlere med 17 pst., eller 16 400 personer. I 4. kvartal 2021 var det 78 900 utenlandske pendlere, det laveste siden 2015. Stengte grenser, men også færre jobbmuligheter i Norge og bedre lønns- og arbeidsvilkår i utreiseland, har trolig bidratt til å redusere innvandringen under pandemien. Nettoinnvandringen i 2020 (11 300) var den laveste siden 2003. Med unntak av 2020 og 2018 (18 100), var nettoinnvandringen i 2021(19 700) den laveste siden 2005. I 3. og 4. kvartal 2021 tok nettoinnvandringen seg noe opp igjen, men med en jevnere fordeling i landbakgrunn og dermed også trolig innvandringsgrunn enn før krisen, med unntak av Polen.</w:t>
      </w:r>
      <w:r w:rsidR="00723672" w:rsidRPr="00723672">
        <w:rPr>
          <w:rStyle w:val="Fotnotereferanse"/>
          <w:b w:val="0"/>
          <w:bCs/>
          <w:sz w:val="22"/>
          <w:szCs w:val="22"/>
        </w:rPr>
        <w:footnoteReference w:id="10"/>
      </w:r>
      <w:r w:rsidR="00723672" w:rsidRPr="00723672">
        <w:rPr>
          <w:b w:val="0"/>
          <w:bCs/>
          <w:sz w:val="22"/>
          <w:szCs w:val="22"/>
        </w:rPr>
        <w:t xml:space="preserve"> Andelen flyktninger vil også øke i 2022 pga. krigen i Ukraina.</w:t>
      </w:r>
    </w:p>
    <w:p w14:paraId="43204985" w14:textId="77777777" w:rsidR="00723672" w:rsidRPr="00723672" w:rsidRDefault="00723672" w:rsidP="00723672">
      <w:pPr>
        <w:pStyle w:val="Mellomtittel"/>
        <w:rPr>
          <w:b w:val="0"/>
          <w:bCs/>
          <w:sz w:val="22"/>
          <w:szCs w:val="22"/>
        </w:rPr>
      </w:pPr>
      <w:r w:rsidRPr="00723672">
        <w:rPr>
          <w:b w:val="0"/>
          <w:bCs/>
          <w:sz w:val="22"/>
          <w:szCs w:val="22"/>
        </w:rPr>
        <w:lastRenderedPageBreak/>
        <w:t xml:space="preserve">Vi regner med at </w:t>
      </w:r>
      <w:bookmarkEnd w:id="4"/>
      <w:r w:rsidRPr="00723672">
        <w:rPr>
          <w:b w:val="0"/>
          <w:bCs/>
          <w:sz w:val="22"/>
          <w:szCs w:val="22"/>
        </w:rPr>
        <w:t xml:space="preserve">den relativt gode aktivitetsveksten i økonomien fortsetter. Sysselsettingen øker derfor i våre prognoser med 2,7 pst. på årsbasis i 2022 og 1,0 pst. i 2023. </w:t>
      </w:r>
    </w:p>
    <w:p w14:paraId="48B13D45" w14:textId="77777777" w:rsidR="00723672" w:rsidRPr="00723672" w:rsidRDefault="00723672" w:rsidP="00723672">
      <w:pPr>
        <w:spacing w:after="200" w:line="288" w:lineRule="auto"/>
        <w:jc w:val="center"/>
        <w:rPr>
          <w:rFonts w:ascii="Open Sans" w:eastAsia="Times New Roman" w:hAnsi="Open Sans" w:cs="Open Sans"/>
          <w:b/>
          <w:color w:val="000000"/>
          <w:sz w:val="22"/>
          <w:szCs w:val="24"/>
          <w:lang w:eastAsia="nb-NO"/>
        </w:rPr>
      </w:pPr>
      <w:r w:rsidRPr="00723672">
        <w:rPr>
          <w:rFonts w:ascii="Open Sans" w:eastAsia="Times New Roman" w:hAnsi="Open Sans" w:cs="Open Sans"/>
          <w:b/>
          <w:color w:val="000000"/>
          <w:sz w:val="22"/>
          <w:szCs w:val="24"/>
          <w:lang w:eastAsia="nb-NO"/>
        </w:rPr>
        <w:t>Økning i sysselsettingsandel i prosentpoeng etter utdanningsnivå, fra 2019-2021, 4. kvartal.</w:t>
      </w:r>
    </w:p>
    <w:p w14:paraId="5288649F" w14:textId="77777777" w:rsidR="00723672" w:rsidRPr="00723672" w:rsidRDefault="00723672" w:rsidP="00723672">
      <w:pPr>
        <w:spacing w:after="200" w:line="288" w:lineRule="auto"/>
        <w:rPr>
          <w:rFonts w:ascii="Open Sans" w:eastAsia="Times New Roman" w:hAnsi="Open Sans" w:cs="Open Sans"/>
          <w:bCs/>
          <w:color w:val="000000"/>
          <w:sz w:val="22"/>
          <w:szCs w:val="24"/>
          <w:lang w:eastAsia="nb-NO"/>
        </w:rPr>
      </w:pPr>
      <w:r w:rsidRPr="00723672">
        <w:rPr>
          <w:rFonts w:ascii="Open Sans" w:eastAsia="Times New Roman" w:hAnsi="Open Sans" w:cs="Open Sans"/>
          <w:bCs/>
          <w:noProof/>
          <w:color w:val="000000"/>
          <w:sz w:val="22"/>
          <w:szCs w:val="24"/>
          <w:lang w:eastAsia="nb-NO"/>
        </w:rPr>
        <w:drawing>
          <wp:inline distT="0" distB="0" distL="0" distR="0" wp14:anchorId="29D0E28B" wp14:editId="4D8FB7ED">
            <wp:extent cx="6120765" cy="2472744"/>
            <wp:effectExtent l="0" t="0" r="0" b="381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88F875" w14:textId="77777777" w:rsidR="00723672" w:rsidRPr="00723672" w:rsidRDefault="00723672" w:rsidP="00723672">
      <w:pPr>
        <w:spacing w:after="200" w:line="288" w:lineRule="auto"/>
        <w:jc w:val="center"/>
        <w:rPr>
          <w:rFonts w:ascii="Open Sans" w:eastAsia="Times New Roman" w:hAnsi="Open Sans" w:cs="Open Sans"/>
          <w:bCs/>
          <w:color w:val="000000"/>
          <w:szCs w:val="20"/>
          <w:lang w:eastAsia="nb-NO"/>
        </w:rPr>
      </w:pPr>
      <w:r w:rsidRPr="00723672">
        <w:rPr>
          <w:rFonts w:ascii="Open Sans" w:eastAsia="Times New Roman" w:hAnsi="Open Sans" w:cs="Open Sans"/>
          <w:bCs/>
          <w:color w:val="000000"/>
          <w:szCs w:val="20"/>
          <w:lang w:eastAsia="nb-NO"/>
        </w:rPr>
        <w:t>Kilde: SSB. Tabell 11930.</w:t>
      </w:r>
    </w:p>
    <w:p w14:paraId="02B09266" w14:textId="7462B0A5" w:rsidR="00723672" w:rsidRPr="00723672" w:rsidRDefault="00723672" w:rsidP="00723672">
      <w:pPr>
        <w:pStyle w:val="Mellomtittel"/>
        <w:rPr>
          <w:b w:val="0"/>
          <w:bCs/>
          <w:sz w:val="22"/>
          <w:szCs w:val="22"/>
        </w:rPr>
      </w:pPr>
      <w:r w:rsidRPr="00723672">
        <w:rPr>
          <w:b w:val="0"/>
          <w:bCs/>
          <w:sz w:val="22"/>
          <w:szCs w:val="22"/>
        </w:rPr>
        <w:t xml:space="preserve">Selv om sysselsettingen steg i 2021, står fortsatt mange utenfor </w:t>
      </w:r>
      <w:r w:rsidR="00100FA1">
        <w:rPr>
          <w:b w:val="0"/>
          <w:bCs/>
          <w:sz w:val="22"/>
          <w:szCs w:val="22"/>
        </w:rPr>
        <w:t xml:space="preserve">eller i randsonen av </w:t>
      </w:r>
      <w:r w:rsidRPr="00723672">
        <w:rPr>
          <w:b w:val="0"/>
          <w:bCs/>
          <w:sz w:val="22"/>
          <w:szCs w:val="22"/>
        </w:rPr>
        <w:t xml:space="preserve">arbeidsmarkedet. Over 200 000 er registrert med nedsatt arbeidsevne hos NAV, hvorav 44 600 under 30 år. Om lag 75 000 i alderen 15-29 år er verken i arbeid, utdanning eller opplæring, eller 112 600 ifølge </w:t>
      </w:r>
      <w:proofErr w:type="spellStart"/>
      <w:r w:rsidRPr="00723672">
        <w:rPr>
          <w:b w:val="0"/>
          <w:bCs/>
          <w:sz w:val="22"/>
          <w:szCs w:val="22"/>
        </w:rPr>
        <w:t>registerbasert</w:t>
      </w:r>
      <w:proofErr w:type="spellEnd"/>
      <w:r w:rsidRPr="00723672">
        <w:rPr>
          <w:b w:val="0"/>
          <w:bCs/>
          <w:sz w:val="22"/>
          <w:szCs w:val="22"/>
        </w:rPr>
        <w:t xml:space="preserve"> statistikk.</w:t>
      </w:r>
      <w:r w:rsidRPr="00723672">
        <w:rPr>
          <w:rStyle w:val="Fotnotereferanse"/>
          <w:b w:val="0"/>
          <w:bCs/>
          <w:sz w:val="22"/>
          <w:szCs w:val="22"/>
        </w:rPr>
        <w:footnoteReference w:id="11"/>
      </w:r>
      <w:r w:rsidRPr="00723672">
        <w:rPr>
          <w:b w:val="0"/>
          <w:bCs/>
          <w:sz w:val="22"/>
          <w:szCs w:val="22"/>
        </w:rPr>
        <w:t xml:space="preserve"> Mange unge med psykiske lidelser har blitt nedprioritert mens helsevesenet har slitt med å håndtere koronatilfeller. Nedstengning av skoler, fritidstilbud mm. under pandemien kan føre til økning av unge framover som trenger bistand for å komme seg inn i arbeidslivet eller for å fullføre utdanning.</w:t>
      </w:r>
    </w:p>
    <w:p w14:paraId="4AED0A20" w14:textId="77777777" w:rsidR="00723672" w:rsidRPr="00723672" w:rsidRDefault="00723672" w:rsidP="00723672">
      <w:pPr>
        <w:pStyle w:val="Mellomtittel"/>
        <w:rPr>
          <w:b w:val="0"/>
          <w:bCs/>
          <w:sz w:val="22"/>
          <w:szCs w:val="22"/>
        </w:rPr>
      </w:pPr>
      <w:r w:rsidRPr="00723672">
        <w:rPr>
          <w:b w:val="0"/>
          <w:bCs/>
          <w:sz w:val="22"/>
          <w:szCs w:val="22"/>
        </w:rPr>
        <w:t xml:space="preserve">På vei ut av en helsekrise kom en ny krevende situasjon med krigen i Ukraina. 31. mars var allerede 17 850 flyktninger ankommet Norge eller på vei. Myndighetene har bedt kommunene om å bosette til sammen 35 000 flyktninger i 2022. Utlendingsdirektoratet (UDI) anbefaler å planlegge for 60 000. Uten effektiv og god integrering kan flyktningene bli utnyttet på ulike måter, bl.a. gjennom sosial dumping og svart arbeid. Økokrim anser denne risikoen som høy innenfor bygg og anlegg, renhold og transportvirksomhet. Et flertall av flyktningene har trolig videregående eller høyere utdanning. Med kompetansepåbygg og god språkopplæring kan mange bidra til å fylle ledige stillinger til skikkelige vilkår. Hvis ikke, kan de derimot havne i konkurranse med andre sårbare grupper. </w:t>
      </w:r>
    </w:p>
    <w:p w14:paraId="02AA5AE0" w14:textId="77777777" w:rsidR="00723672" w:rsidRPr="00723672" w:rsidRDefault="00723672" w:rsidP="00723672">
      <w:pPr>
        <w:pStyle w:val="Mellomtittel"/>
        <w:rPr>
          <w:sz w:val="22"/>
          <w:szCs w:val="22"/>
        </w:rPr>
      </w:pPr>
      <w:r w:rsidRPr="00723672">
        <w:rPr>
          <w:b w:val="0"/>
          <w:bCs/>
          <w:sz w:val="22"/>
          <w:szCs w:val="22"/>
        </w:rPr>
        <w:t xml:space="preserve">Høyere sysselsetting blant alle sårbare grupper krever at man følger kompetansesporet. Det høyproduktive norske arbeidslivet har høye faglige </w:t>
      </w:r>
      <w:r w:rsidRPr="00723672">
        <w:rPr>
          <w:b w:val="0"/>
          <w:bCs/>
          <w:sz w:val="22"/>
          <w:szCs w:val="22"/>
        </w:rPr>
        <w:lastRenderedPageBreak/>
        <w:t>kompetansekrav. I tillegg kreves det naturligvis språkkompetanse. For noen flyktninger, f.eks. med liten kjennskap til både engelsk og norsk, vil det kunne ta tid å tilpasse seg det norske arbeidslivet. I tillegg er hjelpebehovet omfattende som følge av både fysiske og psykiske skader, som også kan utsette inngangen i arbeidslivet.</w:t>
      </w:r>
    </w:p>
    <w:p w14:paraId="5C6D0769" w14:textId="77777777" w:rsidR="00723672" w:rsidRPr="00723672" w:rsidRDefault="00723672" w:rsidP="00723672">
      <w:pPr>
        <w:spacing w:after="200"/>
        <w:jc w:val="both"/>
        <w:rPr>
          <w:rFonts w:ascii="Open Sans" w:eastAsia="Times New Roman" w:hAnsi="Open Sans" w:cs="Open Sans"/>
          <w:bCs/>
          <w:color w:val="000000"/>
          <w:sz w:val="22"/>
          <w:szCs w:val="24"/>
          <w:lang w:eastAsia="nb-NO"/>
        </w:rPr>
      </w:pPr>
      <w:r w:rsidRPr="00723672">
        <w:rPr>
          <w:rFonts w:ascii="Open Sans" w:eastAsia="Times New Roman" w:hAnsi="Open Sans" w:cs="Open Sans"/>
          <w:bCs/>
          <w:color w:val="000000"/>
          <w:sz w:val="22"/>
          <w:szCs w:val="24"/>
          <w:lang w:eastAsia="nb-NO"/>
        </w:rPr>
        <w:t xml:space="preserve">Antall sysselsatte gikk opp 3,0 pst. fra 4. kvartal 2020 til 4. kvartal 2021, ifølge nasjonalregnskapstall. Nesten halvparten av </w:t>
      </w:r>
      <w:proofErr w:type="spellStart"/>
      <w:r w:rsidRPr="00723672">
        <w:rPr>
          <w:rFonts w:ascii="Open Sans" w:eastAsia="Times New Roman" w:hAnsi="Open Sans" w:cs="Open Sans"/>
          <w:bCs/>
          <w:color w:val="000000"/>
          <w:sz w:val="22"/>
          <w:szCs w:val="24"/>
          <w:lang w:eastAsia="nb-NO"/>
        </w:rPr>
        <w:t>sysselsettingsøkningen</w:t>
      </w:r>
      <w:proofErr w:type="spellEnd"/>
      <w:r w:rsidRPr="00723672">
        <w:rPr>
          <w:rFonts w:ascii="Open Sans" w:eastAsia="Times New Roman" w:hAnsi="Open Sans" w:cs="Open Sans"/>
          <w:bCs/>
          <w:color w:val="000000"/>
          <w:sz w:val="22"/>
          <w:szCs w:val="24"/>
          <w:lang w:eastAsia="nb-NO"/>
        </w:rPr>
        <w:t xml:space="preserve"> kom innen overnatting- og servering, forretningsmessig tjenesteyting, varehandel, bygg og anlegg, og kultur, underholdning og annen tjenesteyting. Alle disse næringene nøt godt av gjenåpningen som kom i rykk og napp fra april 2021. Nedstengingen ved det siste årsskiftet påvirket ikke sysselsettingen merkverdig, mye takket være lønnsstøtteordningen. I 4. kvartal 2021 økte sysselsettingen betydelig også innenfor informasjon og kommunikasjon. Utenriks sjøfart var den eneste næringen hvor antallet sysselsatte falt sammenlignet med 4. kvartal 2020.</w:t>
      </w:r>
    </w:p>
    <w:p w14:paraId="5DC21E49" w14:textId="77777777" w:rsidR="00723672" w:rsidRPr="00723672" w:rsidRDefault="00723672" w:rsidP="00723672">
      <w:pPr>
        <w:spacing w:after="200"/>
        <w:jc w:val="center"/>
        <w:rPr>
          <w:rFonts w:ascii="Open Sans" w:eastAsia="Times New Roman" w:hAnsi="Open Sans" w:cs="Open Sans"/>
          <w:bCs/>
          <w:color w:val="000000"/>
          <w:szCs w:val="20"/>
          <w:lang w:eastAsia="nb-NO"/>
        </w:rPr>
      </w:pPr>
      <w:r w:rsidRPr="00723672">
        <w:rPr>
          <w:rFonts w:ascii="Open Sans" w:eastAsia="Times New Roman" w:hAnsi="Open Sans" w:cs="Open Sans"/>
          <w:b/>
          <w:color w:val="000000"/>
          <w:sz w:val="22"/>
          <w:szCs w:val="24"/>
          <w:lang w:eastAsia="nb-NO"/>
        </w:rPr>
        <w:t>Sysselsatte personer, utvalgte næringer. Endring i 1000 personer, 4. kvartal.</w:t>
      </w:r>
      <w:r w:rsidRPr="00723672">
        <w:rPr>
          <w:rFonts w:ascii="Open Sans" w:eastAsia="Times New Roman" w:hAnsi="Open Sans" w:cs="Open Sans"/>
          <w:b/>
          <w:noProof/>
          <w:color w:val="000000"/>
          <w:sz w:val="22"/>
          <w:szCs w:val="24"/>
          <w:lang w:eastAsia="nb-NO"/>
        </w:rPr>
        <w:t xml:space="preserve"> </w:t>
      </w:r>
      <w:r w:rsidRPr="00723672">
        <w:rPr>
          <w:rFonts w:ascii="Open Sans" w:eastAsia="Times New Roman" w:hAnsi="Open Sans" w:cs="Open Sans"/>
          <w:b/>
          <w:noProof/>
          <w:color w:val="000000"/>
          <w:sz w:val="22"/>
          <w:szCs w:val="24"/>
          <w:lang w:eastAsia="nb-NO"/>
        </w:rPr>
        <w:drawing>
          <wp:inline distT="0" distB="0" distL="0" distR="0" wp14:anchorId="1D8FD93D" wp14:editId="328DC058">
            <wp:extent cx="6120765" cy="3030814"/>
            <wp:effectExtent l="0" t="0" r="0" b="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23672">
        <w:rPr>
          <w:rFonts w:ascii="Open Sans" w:eastAsia="Times New Roman" w:hAnsi="Open Sans" w:cs="Open Sans"/>
          <w:bCs/>
          <w:color w:val="000000"/>
          <w:szCs w:val="20"/>
          <w:lang w:eastAsia="nb-NO"/>
        </w:rPr>
        <w:t>Kilde: SSB, Nasjonalregnskapet. Tabell 09175.</w:t>
      </w:r>
    </w:p>
    <w:p w14:paraId="7B10D0E0" w14:textId="77777777" w:rsidR="00723672" w:rsidRPr="00723672" w:rsidRDefault="00723672" w:rsidP="00723672">
      <w:pPr>
        <w:spacing w:after="200"/>
        <w:jc w:val="both"/>
        <w:rPr>
          <w:rFonts w:ascii="Open Sans" w:eastAsia="Times New Roman" w:hAnsi="Open Sans" w:cs="Open Sans"/>
          <w:bCs/>
          <w:color w:val="000000"/>
          <w:sz w:val="22"/>
          <w:szCs w:val="24"/>
          <w:lang w:eastAsia="nb-NO"/>
        </w:rPr>
      </w:pPr>
      <w:r w:rsidRPr="00723672">
        <w:rPr>
          <w:rFonts w:ascii="Open Sans" w:eastAsia="Times New Roman" w:hAnsi="Open Sans" w:cs="Open Sans"/>
          <w:bCs/>
          <w:color w:val="000000"/>
          <w:sz w:val="22"/>
          <w:szCs w:val="24"/>
          <w:lang w:eastAsia="nb-NO"/>
        </w:rPr>
        <w:t xml:space="preserve">Til tross for sterk vekst, jobbet fortsatt færre i overnattings- og serveringsvirksomhet og forretningsmessig tjenesteyting (der innleie av arbeidskraft inngår) i 4. kvartal 2021 enn i 4. kvartal 2019. Utenlandske pendlere utgjorde hhv. en av ti og en av fem sysselsatte i de næringene i 2020. En del av de utenlandske pendlerne i forretningsmessig tjenesteyting var leid ut til helse- og omsorgstjenester, typisk som assistenter og vikarer. Når det gjelder ansatte, står trolig færre ikke-bosatte svenske lønnstakere for mye av reduksjonen i antall utenlandske pendlere innenfor varehandel, overnatting og servering samt helse- og omsorgstjenester. Mange av de nye sysselsatte i disse næringene var unge bosatte. De siste to årene har det totalt blitt flest nye sysselsatte innenfor helse- og omsorgstjenester, offentlig administrasjon og forsvar, undervisning, og informasjon og kommunikasjon. Mens sysselsettingen i overnatting og servering sannsynligvis vil forbigå gamle nivåer etter </w:t>
      </w:r>
      <w:r w:rsidRPr="00723672">
        <w:rPr>
          <w:rFonts w:ascii="Open Sans" w:eastAsia="Times New Roman" w:hAnsi="Open Sans" w:cs="Open Sans"/>
          <w:bCs/>
          <w:color w:val="000000"/>
          <w:sz w:val="22"/>
          <w:szCs w:val="24"/>
          <w:lang w:eastAsia="nb-NO"/>
        </w:rPr>
        <w:lastRenderedPageBreak/>
        <w:t>hvert, vil utviklingen i bemanningsbransjen kunne begrenses av nye innleie-restriksjoner.</w:t>
      </w:r>
    </w:p>
    <w:p w14:paraId="4F2A12F7" w14:textId="1116671A" w:rsidR="00723672" w:rsidRDefault="00723672" w:rsidP="00723672">
      <w:pPr>
        <w:spacing w:after="200"/>
        <w:jc w:val="both"/>
        <w:rPr>
          <w:rFonts w:ascii="Open Sans" w:eastAsia="Times New Roman" w:hAnsi="Open Sans" w:cs="Open Sans"/>
          <w:bCs/>
          <w:color w:val="000000"/>
          <w:sz w:val="22"/>
          <w:szCs w:val="24"/>
          <w:lang w:eastAsia="nb-NO"/>
        </w:rPr>
      </w:pPr>
      <w:r w:rsidRPr="00723672">
        <w:rPr>
          <w:rFonts w:ascii="Open Sans" w:eastAsia="Times New Roman" w:hAnsi="Open Sans" w:cs="Open Sans"/>
          <w:bCs/>
          <w:color w:val="000000"/>
          <w:sz w:val="22"/>
          <w:szCs w:val="24"/>
          <w:lang w:eastAsia="nb-NO"/>
        </w:rPr>
        <w:t>Fordelt etter alder økte sysselsettingsandelen fra 4. kvartal 2020 til 4. kvartal 2021 mer i aldersgruppen 15-24 år enn blant 25-74 åringene, ifølge AKU.</w:t>
      </w:r>
      <w:r w:rsidRPr="00723672">
        <w:rPr>
          <w:rStyle w:val="Fotnotereferanse"/>
          <w:rFonts w:ascii="Open Sans" w:eastAsia="Times New Roman" w:hAnsi="Open Sans" w:cs="Open Sans"/>
          <w:bCs/>
          <w:color w:val="000000"/>
          <w:sz w:val="22"/>
          <w:szCs w:val="24"/>
          <w:lang w:eastAsia="nb-NO"/>
        </w:rPr>
        <w:footnoteReference w:id="12"/>
      </w:r>
      <w:r w:rsidRPr="00723672">
        <w:rPr>
          <w:rFonts w:ascii="Open Sans" w:eastAsia="Times New Roman" w:hAnsi="Open Sans" w:cs="Open Sans"/>
          <w:bCs/>
          <w:color w:val="000000"/>
          <w:sz w:val="22"/>
          <w:szCs w:val="24"/>
          <w:lang w:eastAsia="nb-NO"/>
        </w:rPr>
        <w:t xml:space="preserve"> Mer enn en fjerdedel av sysselsettingsoppgangen kom blant 15-24 åringer. At sysselsettingsveksten var sterkest blant de aller yngste må bl.a. sees i sammenheng med økt aktivitet i tjenestenæringene og færre utenlandske pendlere, som ser ut til å ha åpnet opp muligheter på arbeidsmarkedet. Fra 1. kvartal 2020 til 4. kvartal 2021 falt antallet utenlandspendlere omtrent like mye som antallet unge lønnstakere økte, hhv. 16 500 og 14 400 personer. Høy representasjon av unge i de koronarammede tjenestenæringene gjorde dem utsatt for negative virkninger av smitteverntiltak, samtidig som de fikk ta del i den sterke veksten etter gjenåpningen.</w:t>
      </w:r>
    </w:p>
    <w:p w14:paraId="559CC6E3" w14:textId="7A86DE49" w:rsidR="00723672" w:rsidRDefault="00723672" w:rsidP="00723672">
      <w:pPr>
        <w:pStyle w:val="Overskrift2"/>
        <w:rPr>
          <w:lang w:eastAsia="nb-NO"/>
        </w:rPr>
      </w:pPr>
      <w:bookmarkStart w:id="5" w:name="_Toc103066736"/>
      <w:r>
        <w:rPr>
          <w:lang w:eastAsia="nb-NO"/>
        </w:rPr>
        <w:t>Mange ledige stillinger og kompetanse-mismatch</w:t>
      </w:r>
      <w:bookmarkEnd w:id="5"/>
    </w:p>
    <w:p w14:paraId="1B413BFE" w14:textId="3F76F50C" w:rsidR="00723672" w:rsidRPr="00244EC1" w:rsidRDefault="00723672" w:rsidP="00723672">
      <w:pPr>
        <w:spacing w:after="200"/>
        <w:jc w:val="both"/>
        <w:rPr>
          <w:rFonts w:ascii="Open Sans" w:eastAsia="Times New Roman" w:hAnsi="Open Sans" w:cs="Open Sans"/>
          <w:bCs/>
          <w:color w:val="000000"/>
          <w:sz w:val="22"/>
          <w:lang w:eastAsia="nb-NO"/>
        </w:rPr>
      </w:pPr>
      <w:r w:rsidRPr="00244EC1">
        <w:rPr>
          <w:rFonts w:ascii="Open Sans" w:eastAsia="Times New Roman" w:hAnsi="Open Sans" w:cs="Open Sans"/>
          <w:bCs/>
          <w:color w:val="000000"/>
          <w:sz w:val="22"/>
          <w:lang w:eastAsia="nb-NO"/>
        </w:rPr>
        <w:t xml:space="preserve">Antallet ledige stillinger økte kraftig etter den gradvise gjenåpningen i april 2021. På årsbasis var det 42 pst. flere ledige stillinger enn i 2020 og 24 pst. høyere enn i 2019. Varehandel, forretningsmessig tjenesteyting, pleie- og omsorgstjenester i institusjon, og bygg og anlegg hadde i snitt flest ledige stillinger i 2021. Andelen ledige stillinger av alle stillinger var imidlertid høyest i forretningsmessig tjenesteyting, informasjon og kommunikasjon, og overnatting og servering. Fra januar til mars 2022 var det flest nye stillingsutlysninger for sykepleiere og jordmødre, butikkarbeidere, omsorgs- og </w:t>
      </w:r>
      <w:proofErr w:type="spellStart"/>
      <w:r w:rsidRPr="00244EC1">
        <w:rPr>
          <w:rFonts w:ascii="Open Sans" w:eastAsia="Times New Roman" w:hAnsi="Open Sans" w:cs="Open Sans"/>
          <w:bCs/>
          <w:color w:val="000000"/>
          <w:sz w:val="22"/>
          <w:lang w:eastAsia="nb-NO"/>
        </w:rPr>
        <w:t>pleiearbeidere</w:t>
      </w:r>
      <w:proofErr w:type="spellEnd"/>
      <w:r w:rsidRPr="00244EC1">
        <w:rPr>
          <w:rFonts w:ascii="Open Sans" w:eastAsia="Times New Roman" w:hAnsi="Open Sans" w:cs="Open Sans"/>
          <w:bCs/>
          <w:color w:val="000000"/>
          <w:sz w:val="22"/>
          <w:lang w:eastAsia="nb-NO"/>
        </w:rPr>
        <w:t>, skolefritidsassistenter og grunnskolelærere. Det er også innenfor helse, pleie og omsorg og undervisning at antallet nye stillinger overstiger antallet arbeidssøkere mest. Det samme gjelder ingeniør og IKT-fag, kontorarbeid, samt akademiske yrker.</w:t>
      </w:r>
    </w:p>
    <w:p w14:paraId="30A74BA0" w14:textId="77777777" w:rsidR="00723672" w:rsidRPr="00723672" w:rsidRDefault="00723672" w:rsidP="00723672">
      <w:pPr>
        <w:spacing w:after="200" w:line="240" w:lineRule="auto"/>
        <w:jc w:val="center"/>
        <w:rPr>
          <w:rFonts w:ascii="Open Sans" w:eastAsia="Times New Roman" w:hAnsi="Open Sans" w:cs="Open Sans"/>
          <w:b/>
          <w:noProof/>
          <w:color w:val="000000"/>
          <w:sz w:val="22"/>
          <w:lang w:eastAsia="nb-NO"/>
        </w:rPr>
      </w:pPr>
      <w:r w:rsidRPr="00723672">
        <w:rPr>
          <w:rFonts w:ascii="Open Sans" w:eastAsia="Times New Roman" w:hAnsi="Open Sans" w:cs="Open Sans"/>
          <w:b/>
          <w:color w:val="000000"/>
          <w:sz w:val="22"/>
          <w:lang w:eastAsia="nb-NO"/>
        </w:rPr>
        <w:t>Tilgang ledige stillinger og sesongjustert antall arbeidssøkere, mars 2022</w:t>
      </w:r>
    </w:p>
    <w:p w14:paraId="1D0D167D" w14:textId="77777777" w:rsidR="00723672" w:rsidRPr="00723672" w:rsidRDefault="00723672" w:rsidP="00723672">
      <w:pPr>
        <w:spacing w:after="200" w:line="240" w:lineRule="auto"/>
        <w:jc w:val="center"/>
        <w:rPr>
          <w:rFonts w:ascii="Open Sans" w:eastAsia="Times New Roman" w:hAnsi="Open Sans" w:cs="Open Sans"/>
          <w:b/>
          <w:noProof/>
          <w:color w:val="000000"/>
          <w:sz w:val="22"/>
          <w:lang w:eastAsia="nb-NO"/>
        </w:rPr>
      </w:pPr>
      <w:r w:rsidRPr="00723672">
        <w:rPr>
          <w:rFonts w:ascii="Open Sans" w:eastAsia="Times New Roman" w:hAnsi="Open Sans" w:cs="Open Sans"/>
          <w:b/>
          <w:noProof/>
          <w:color w:val="000000"/>
          <w:sz w:val="22"/>
          <w:lang w:eastAsia="nb-NO"/>
        </w:rPr>
        <w:drawing>
          <wp:inline distT="0" distB="0" distL="0" distR="0" wp14:anchorId="68AA995E" wp14:editId="73CA87D5">
            <wp:extent cx="5486400" cy="2328153"/>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247954" w14:textId="77777777" w:rsidR="00723672" w:rsidRPr="00723672" w:rsidRDefault="00723672" w:rsidP="00723672">
      <w:pPr>
        <w:spacing w:after="200" w:line="240" w:lineRule="auto"/>
        <w:jc w:val="center"/>
        <w:rPr>
          <w:rFonts w:ascii="Open Sans" w:eastAsia="Times New Roman" w:hAnsi="Open Sans" w:cs="Open Sans"/>
          <w:bCs/>
          <w:noProof/>
          <w:color w:val="000000"/>
          <w:szCs w:val="20"/>
          <w:lang w:eastAsia="nb-NO"/>
        </w:rPr>
      </w:pPr>
      <w:r w:rsidRPr="00723672">
        <w:rPr>
          <w:rFonts w:ascii="Open Sans" w:eastAsia="Times New Roman" w:hAnsi="Open Sans" w:cs="Open Sans"/>
          <w:bCs/>
          <w:noProof/>
          <w:color w:val="000000"/>
          <w:szCs w:val="20"/>
          <w:lang w:eastAsia="nb-NO"/>
        </w:rPr>
        <w:t>Kilde: NAV.</w:t>
      </w:r>
    </w:p>
    <w:p w14:paraId="044F3CAC" w14:textId="01A91100" w:rsidR="00723672" w:rsidRPr="00723672" w:rsidRDefault="00723672" w:rsidP="00723672">
      <w:pPr>
        <w:spacing w:after="200" w:line="240" w:lineRule="auto"/>
        <w:jc w:val="both"/>
        <w:rPr>
          <w:rFonts w:ascii="Open Sans" w:eastAsia="Times New Roman" w:hAnsi="Open Sans" w:cs="Open Sans"/>
          <w:bCs/>
          <w:color w:val="000000"/>
          <w:sz w:val="22"/>
          <w:lang w:eastAsia="nb-NO"/>
        </w:rPr>
      </w:pPr>
      <w:r w:rsidRPr="00723672">
        <w:rPr>
          <w:rFonts w:ascii="Open Sans" w:eastAsia="Times New Roman" w:hAnsi="Open Sans" w:cs="Open Sans"/>
          <w:bCs/>
          <w:color w:val="000000"/>
          <w:sz w:val="22"/>
          <w:lang w:eastAsia="nb-NO"/>
        </w:rPr>
        <w:lastRenderedPageBreak/>
        <w:t>Halvparten av kontaktene i Norges Banks regionale nettverk melder at mangel på arbeidskraft begrenser produksjonen, som er det høyeste nivået siden før finanskrisen.</w:t>
      </w:r>
      <w:r w:rsidRPr="00723672">
        <w:rPr>
          <w:rFonts w:ascii="Open Sans" w:eastAsia="Times New Roman" w:hAnsi="Open Sans" w:cs="Open Sans"/>
          <w:bCs/>
          <w:color w:val="000000"/>
          <w:sz w:val="22"/>
          <w:vertAlign w:val="superscript"/>
          <w:lang w:eastAsia="nb-NO"/>
        </w:rPr>
        <w:footnoteReference w:id="13"/>
      </w:r>
      <w:r w:rsidRPr="00723672">
        <w:rPr>
          <w:rFonts w:ascii="Open Sans" w:eastAsia="Times New Roman" w:hAnsi="Open Sans" w:cs="Open Sans"/>
          <w:bCs/>
          <w:color w:val="000000"/>
          <w:sz w:val="22"/>
          <w:lang w:eastAsia="nb-NO"/>
        </w:rPr>
        <w:t xml:space="preserve"> </w:t>
      </w:r>
    </w:p>
    <w:p w14:paraId="6ED74BF4" w14:textId="3D59E864" w:rsidR="00723672" w:rsidRPr="00723672" w:rsidRDefault="00723672" w:rsidP="00723672">
      <w:pPr>
        <w:spacing w:after="200" w:line="240" w:lineRule="auto"/>
        <w:jc w:val="both"/>
        <w:rPr>
          <w:rFonts w:ascii="Open Sans" w:eastAsia="Times New Roman" w:hAnsi="Open Sans" w:cs="Open Sans"/>
          <w:bCs/>
          <w:color w:val="000000"/>
          <w:sz w:val="22"/>
          <w:lang w:eastAsia="nb-NO"/>
        </w:rPr>
      </w:pPr>
      <w:r w:rsidRPr="00723672">
        <w:rPr>
          <w:rFonts w:ascii="Open Sans" w:eastAsia="Times New Roman" w:hAnsi="Open Sans" w:cs="Open Sans"/>
          <w:bCs/>
          <w:color w:val="000000"/>
          <w:sz w:val="22"/>
          <w:lang w:eastAsia="nb-NO"/>
        </w:rPr>
        <w:t xml:space="preserve">Oppgitt mangel på arbeidskraft fra virksomhetene behøver ikke være et samfunnsproblem. Det speiler </w:t>
      </w:r>
      <w:r w:rsidR="007069D1">
        <w:rPr>
          <w:rFonts w:ascii="Open Sans" w:eastAsia="Times New Roman" w:hAnsi="Open Sans" w:cs="Open Sans"/>
          <w:bCs/>
          <w:color w:val="000000"/>
          <w:sz w:val="22"/>
          <w:lang w:eastAsia="nb-NO"/>
        </w:rPr>
        <w:t>bl.a.</w:t>
      </w:r>
      <w:r w:rsidRPr="00723672">
        <w:rPr>
          <w:rFonts w:ascii="Open Sans" w:eastAsia="Times New Roman" w:hAnsi="Open Sans" w:cs="Open Sans"/>
          <w:bCs/>
          <w:color w:val="000000"/>
          <w:sz w:val="22"/>
          <w:lang w:eastAsia="nb-NO"/>
        </w:rPr>
        <w:t xml:space="preserve"> lav arbeidsløshet. At det er krevende å få tak i rett kompetanse kan også gi virksomhetene insentiver til å investere i lærlinger og egne ansatte gjennom tilbud på opplæring og etter</w:t>
      </w:r>
      <w:r w:rsidR="00A0406E">
        <w:rPr>
          <w:rFonts w:ascii="Open Sans" w:eastAsia="Times New Roman" w:hAnsi="Open Sans" w:cs="Open Sans"/>
          <w:bCs/>
          <w:color w:val="000000"/>
          <w:sz w:val="22"/>
          <w:lang w:eastAsia="nb-NO"/>
        </w:rPr>
        <w:t>-</w:t>
      </w:r>
      <w:r w:rsidRPr="00723672">
        <w:rPr>
          <w:rFonts w:ascii="Open Sans" w:eastAsia="Times New Roman" w:hAnsi="Open Sans" w:cs="Open Sans"/>
          <w:bCs/>
          <w:color w:val="000000"/>
          <w:sz w:val="22"/>
          <w:lang w:eastAsia="nb-NO"/>
        </w:rPr>
        <w:t xml:space="preserve"> og videreutdanning. Det kan også styrke motivasjonen til å hjelpe langtidsarbeidsløse og personer med helseutfordringer inn i jobb. Sammen med innstramminger av innleieregelverket innebærer mangelen på arbeidskraft at det for mange virksomheter blir nødvendig å justere rekrutteringsstrategiene.</w:t>
      </w:r>
    </w:p>
    <w:p w14:paraId="5489B5B1" w14:textId="77777777" w:rsidR="00723672" w:rsidRPr="00723672" w:rsidRDefault="00723672" w:rsidP="00723672">
      <w:pPr>
        <w:spacing w:after="200" w:line="240" w:lineRule="auto"/>
        <w:jc w:val="both"/>
        <w:rPr>
          <w:rFonts w:ascii="Open Sans" w:eastAsia="Times New Roman" w:hAnsi="Open Sans" w:cs="Open Sans"/>
          <w:bCs/>
          <w:color w:val="000000"/>
          <w:sz w:val="22"/>
          <w:lang w:eastAsia="nb-NO"/>
        </w:rPr>
      </w:pPr>
      <w:r w:rsidRPr="00723672">
        <w:rPr>
          <w:rFonts w:ascii="Open Sans" w:eastAsia="Times New Roman" w:hAnsi="Open Sans" w:cs="Open Sans"/>
          <w:bCs/>
          <w:color w:val="000000"/>
          <w:sz w:val="22"/>
          <w:lang w:eastAsia="nb-NO"/>
        </w:rPr>
        <w:t>Presset i arbeidsmarkedet kan dermed hjelpe arbeidsinkluderingen. Det kan også bidra til ønsket bedring av lønns- og arbeidsvilkår i deler der en tidligere har strevd med sosial dumping.</w:t>
      </w:r>
    </w:p>
    <w:p w14:paraId="248912AF" w14:textId="7189E09A" w:rsidR="00723672" w:rsidRPr="00244EC1" w:rsidRDefault="00723672" w:rsidP="00723672">
      <w:pPr>
        <w:pStyle w:val="Overskrift2"/>
        <w:rPr>
          <w:sz w:val="22"/>
          <w:szCs w:val="28"/>
          <w:lang w:eastAsia="nb-NO"/>
        </w:rPr>
      </w:pPr>
      <w:bookmarkStart w:id="6" w:name="_Toc103066737"/>
      <w:proofErr w:type="gramStart"/>
      <w:r w:rsidRPr="00244EC1">
        <w:rPr>
          <w:sz w:val="22"/>
          <w:szCs w:val="28"/>
          <w:lang w:eastAsia="nb-NO"/>
        </w:rPr>
        <w:t>…samtidig</w:t>
      </w:r>
      <w:proofErr w:type="gramEnd"/>
      <w:r w:rsidRPr="00244EC1">
        <w:rPr>
          <w:sz w:val="22"/>
          <w:szCs w:val="28"/>
          <w:lang w:eastAsia="nb-NO"/>
        </w:rPr>
        <w:t xml:space="preserve"> som mange er utenfor arbeidslivet, eller står i fare for å falle ut</w:t>
      </w:r>
      <w:bookmarkEnd w:id="6"/>
      <w:r w:rsidRPr="00244EC1">
        <w:rPr>
          <w:sz w:val="22"/>
          <w:szCs w:val="28"/>
          <w:lang w:eastAsia="nb-NO"/>
        </w:rPr>
        <w:t xml:space="preserve"> </w:t>
      </w:r>
    </w:p>
    <w:p w14:paraId="02D38A7D" w14:textId="77777777" w:rsidR="00CD0938" w:rsidRDefault="00CD0938" w:rsidP="00CD0938">
      <w:pPr>
        <w:spacing w:after="200"/>
        <w:jc w:val="both"/>
        <w:rPr>
          <w:sz w:val="22"/>
          <w:szCs w:val="24"/>
        </w:rPr>
      </w:pPr>
      <w:r w:rsidRPr="00244EC1">
        <w:rPr>
          <w:sz w:val="22"/>
          <w:szCs w:val="24"/>
        </w:rPr>
        <w:t xml:space="preserve">I mars 2022 var 200 800 personer, hvorav 44 600 under 30 år, registrert med nedsatt arbeidsevne, som er 17 500 flere enn i mars 2019. Av disse var vel 30 pst., eller 62 100, på tiltak. Blant alle med nedsatt arbeidsevne mottok 65,7 og 10,1 pst. hhv. AAP og uføretrygd. Økningen fra mars 2020 til 2022 gjelder alle aldersgrupper, men denne høyeste prosentvise veksten er i aldersgruppen 60 og over. Økningen i 2022 henger sammen med flere AAP-mottakere, som igjen bl.a. kan knyttes til at venteperioden mellom endt AAP og en eventuell ny periode (såkalt karensperiode) er midlertidig opphevet fra 1. februar til 30. juni. </w:t>
      </w:r>
    </w:p>
    <w:p w14:paraId="2A890AE1" w14:textId="77777777" w:rsidR="00351F54" w:rsidRPr="00244EC1" w:rsidRDefault="00351F54" w:rsidP="00351F54">
      <w:pPr>
        <w:spacing w:after="200"/>
        <w:jc w:val="center"/>
        <w:rPr>
          <w:b/>
          <w:bCs/>
          <w:sz w:val="22"/>
        </w:rPr>
      </w:pPr>
      <w:r w:rsidRPr="00244EC1">
        <w:rPr>
          <w:b/>
          <w:bCs/>
          <w:sz w:val="22"/>
        </w:rPr>
        <w:t xml:space="preserve">Antall AAP-mottakere og med nedsatt arbeidsevne (v. akse) og andel av befolkningen (18-66 år) (h. </w:t>
      </w:r>
      <w:proofErr w:type="gramStart"/>
      <w:r w:rsidRPr="00244EC1">
        <w:rPr>
          <w:b/>
          <w:bCs/>
          <w:sz w:val="22"/>
        </w:rPr>
        <w:t>akse)*</w:t>
      </w:r>
      <w:proofErr w:type="gramEnd"/>
    </w:p>
    <w:p w14:paraId="66732497" w14:textId="77777777" w:rsidR="00351F54" w:rsidRPr="00244EC1" w:rsidRDefault="00351F54" w:rsidP="00351F54">
      <w:pPr>
        <w:spacing w:after="200"/>
        <w:jc w:val="center"/>
        <w:rPr>
          <w:b/>
          <w:bCs/>
          <w:sz w:val="22"/>
          <w:szCs w:val="24"/>
        </w:rPr>
      </w:pPr>
      <w:r w:rsidRPr="00244EC1">
        <w:rPr>
          <w:b/>
          <w:bCs/>
          <w:noProof/>
          <w:sz w:val="22"/>
          <w:szCs w:val="24"/>
        </w:rPr>
        <w:drawing>
          <wp:inline distT="0" distB="0" distL="0" distR="0" wp14:anchorId="0BC595F3" wp14:editId="3CDA1DB4">
            <wp:extent cx="5739063" cy="2315544"/>
            <wp:effectExtent l="0" t="0" r="0" b="889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4FA04D" w14:textId="77777777" w:rsidR="00351F54" w:rsidRPr="00244EC1" w:rsidRDefault="00351F54" w:rsidP="00351F54">
      <w:pPr>
        <w:spacing w:after="200"/>
        <w:jc w:val="center"/>
        <w:rPr>
          <w:szCs w:val="20"/>
        </w:rPr>
      </w:pPr>
      <w:r w:rsidRPr="00244EC1">
        <w:rPr>
          <w:szCs w:val="20"/>
        </w:rPr>
        <w:t>Kilde: NAV. *I mars måned hvert år.</w:t>
      </w:r>
    </w:p>
    <w:p w14:paraId="6011EB9F" w14:textId="77777777" w:rsidR="00351F54" w:rsidRPr="00244EC1" w:rsidRDefault="00351F54" w:rsidP="00CD0938">
      <w:pPr>
        <w:spacing w:after="200"/>
        <w:jc w:val="both"/>
        <w:rPr>
          <w:sz w:val="22"/>
          <w:szCs w:val="24"/>
        </w:rPr>
      </w:pPr>
    </w:p>
    <w:p w14:paraId="35865961" w14:textId="72EADC4E" w:rsidR="00351F54" w:rsidRPr="00244EC1" w:rsidRDefault="00CD0938" w:rsidP="00CD0938">
      <w:pPr>
        <w:spacing w:after="200"/>
        <w:jc w:val="both"/>
        <w:rPr>
          <w:sz w:val="22"/>
          <w:szCs w:val="24"/>
        </w:rPr>
      </w:pPr>
      <w:r w:rsidRPr="00244EC1">
        <w:rPr>
          <w:sz w:val="22"/>
          <w:szCs w:val="24"/>
        </w:rPr>
        <w:t>Mange trygdemottakere kombinerer ytelsen med arbeid hele eller i deler av året. Siden 2015 har en økende andel AAP-mottakere kombinert ytelsen med arbeid i deler av året, mens andelen uføretrygd-mottakere delvis i arbeid har falt noe. De utgjør hhv. 1 av 2 AAP-mottakere og 1 av 5 uføretrygdmottakere. Andelene har vært stabile gjennom pandemien.</w:t>
      </w:r>
    </w:p>
    <w:p w14:paraId="1BA64B6A" w14:textId="6F55444B" w:rsidR="00BF7F19" w:rsidRDefault="00BF7F19" w:rsidP="00BF7F19">
      <w:pPr>
        <w:spacing w:after="200"/>
        <w:jc w:val="both"/>
        <w:rPr>
          <w:b/>
          <w:bCs/>
          <w:szCs w:val="20"/>
        </w:rPr>
      </w:pPr>
      <w:r w:rsidRPr="00244EC1">
        <w:rPr>
          <w:sz w:val="22"/>
          <w:szCs w:val="24"/>
        </w:rPr>
        <w:t>I mars 2022 mottok 136 600 personer arbeidsavklaringspenger (AAP), som er 5,1 pst. høyere enn på samme tidspunkt året før og tilsvarer 4,0 pst. av befolkningen i alderen 18-66 år. Sammenlignet med på samme tidspunkt ett år tidligere, økte antallet AAP-mottakere mest i aldersgruppen 60-66 år. Størst relativ endring var blant 50-59 åringer. For personer under 30 år var økningen relativt liten sammenlignet med andre aldersgrupper. Diagnosegruppene muskel- og skjelettlidelser og psykiske lidelser øker mest. De står for hhv. 30 og 42 p</w:t>
      </w:r>
      <w:r w:rsidR="007448C8">
        <w:rPr>
          <w:sz w:val="22"/>
          <w:szCs w:val="24"/>
        </w:rPr>
        <w:t>st.</w:t>
      </w:r>
      <w:r w:rsidRPr="00244EC1">
        <w:rPr>
          <w:sz w:val="22"/>
          <w:szCs w:val="24"/>
        </w:rPr>
        <w:t xml:space="preserve"> av alle AAP-mottakere. Den betydelige økningen i AAP-mottakere under pandemien må sees i sammenheng med at fristen for uføretrygd-avklaring ble forlenget pga. korona, først til september 2021 og deretter til 30. juni 2022. Avgangen fra AAP, og tilstrømmingen til uføretrygd, ble lavere. I mars mottok 363 100 personer uføretrygd, 0,9 pst. høyere enn et år før. Til sammen utgjør de 10,5 pst. av befolkningen mellom 18-66 år.</w:t>
      </w:r>
      <w:r w:rsidRPr="00244EC1">
        <w:rPr>
          <w:b/>
          <w:bCs/>
          <w:szCs w:val="20"/>
        </w:rPr>
        <w:t xml:space="preserve"> </w:t>
      </w:r>
    </w:p>
    <w:p w14:paraId="767F842D" w14:textId="77777777" w:rsidR="00961844" w:rsidRPr="00244EC1" w:rsidRDefault="00961844" w:rsidP="00961844">
      <w:pPr>
        <w:spacing w:after="200"/>
        <w:jc w:val="center"/>
        <w:rPr>
          <w:b/>
          <w:bCs/>
          <w:sz w:val="22"/>
          <w:szCs w:val="24"/>
        </w:rPr>
      </w:pPr>
      <w:r w:rsidRPr="00244EC1">
        <w:rPr>
          <w:b/>
          <w:bCs/>
          <w:sz w:val="22"/>
          <w:szCs w:val="24"/>
        </w:rPr>
        <w:t>Mottakere av uføretrygd i antall (v. akse) og andel av befolkningen (h. akse)</w:t>
      </w:r>
    </w:p>
    <w:p w14:paraId="14FEB626" w14:textId="77777777" w:rsidR="00961844" w:rsidRPr="00244EC1" w:rsidRDefault="00961844" w:rsidP="00961844">
      <w:pPr>
        <w:spacing w:after="200"/>
        <w:jc w:val="center"/>
        <w:rPr>
          <w:b/>
          <w:bCs/>
          <w:sz w:val="22"/>
          <w:szCs w:val="24"/>
        </w:rPr>
      </w:pPr>
      <w:r w:rsidRPr="00244EC1">
        <w:rPr>
          <w:b/>
          <w:bCs/>
          <w:noProof/>
          <w:sz w:val="22"/>
          <w:szCs w:val="24"/>
        </w:rPr>
        <w:drawing>
          <wp:inline distT="0" distB="0" distL="0" distR="0" wp14:anchorId="010A9135" wp14:editId="30E49CF3">
            <wp:extent cx="5486400" cy="2575775"/>
            <wp:effectExtent l="0" t="0" r="0" b="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8FBF3B" w14:textId="27098E86" w:rsidR="00961844" w:rsidRPr="00961844" w:rsidRDefault="00961844" w:rsidP="00961844">
      <w:pPr>
        <w:spacing w:after="200"/>
        <w:jc w:val="center"/>
        <w:rPr>
          <w:sz w:val="22"/>
          <w:szCs w:val="24"/>
        </w:rPr>
      </w:pPr>
      <w:r w:rsidRPr="00244EC1">
        <w:rPr>
          <w:szCs w:val="20"/>
        </w:rPr>
        <w:t>Kilde: NAV</w:t>
      </w:r>
    </w:p>
    <w:p w14:paraId="7FE360CB" w14:textId="77777777" w:rsidR="00800235" w:rsidRPr="00244EC1" w:rsidRDefault="00800235" w:rsidP="00800235">
      <w:pPr>
        <w:spacing w:after="200"/>
        <w:jc w:val="both"/>
        <w:rPr>
          <w:sz w:val="22"/>
          <w:szCs w:val="24"/>
        </w:rPr>
      </w:pPr>
      <w:r w:rsidRPr="00244EC1">
        <w:rPr>
          <w:sz w:val="22"/>
          <w:szCs w:val="24"/>
        </w:rPr>
        <w:t>Antallet unge (15-29 år) hverken i arbeid, utdanning eller opplæring (NEET)</w:t>
      </w:r>
      <w:r w:rsidRPr="00244EC1">
        <w:rPr>
          <w:rStyle w:val="Fotnotereferanse"/>
          <w:sz w:val="22"/>
          <w:szCs w:val="24"/>
        </w:rPr>
        <w:footnoteReference w:id="14"/>
      </w:r>
      <w:r w:rsidRPr="00244EC1">
        <w:rPr>
          <w:sz w:val="22"/>
          <w:szCs w:val="24"/>
        </w:rPr>
        <w:t xml:space="preserve"> økte i 2021, til totalt 75 000 personer. Økningen er sterkest blant 15-19 åringer. Det er uvisst hvor mye som skyldes måleendring i AKU og at korona rammet hardt unge sysselsatte med grunnskole eller videregående utdanning, en gruppe med høy risiko for å bli NEET. Til sammen utgjorde </w:t>
      </w:r>
      <w:proofErr w:type="spellStart"/>
      <w:r w:rsidRPr="00244EC1">
        <w:rPr>
          <w:sz w:val="22"/>
          <w:szCs w:val="24"/>
        </w:rPr>
        <w:t>NEETer</w:t>
      </w:r>
      <w:proofErr w:type="spellEnd"/>
      <w:r w:rsidRPr="00244EC1">
        <w:rPr>
          <w:sz w:val="22"/>
          <w:szCs w:val="24"/>
        </w:rPr>
        <w:t xml:space="preserve"> 7,4 pst. av de unge, en lav andel </w:t>
      </w:r>
      <w:r w:rsidRPr="00244EC1">
        <w:rPr>
          <w:sz w:val="22"/>
          <w:szCs w:val="24"/>
        </w:rPr>
        <w:lastRenderedPageBreak/>
        <w:t xml:space="preserve">sammenlignet med andre OECD-land, men den høyeste i hele måleperioden 2006-2021. Forskning tyder på at den norske gruppen ofte er mer utsatt. F.eks. finner OECD at norske </w:t>
      </w:r>
      <w:proofErr w:type="spellStart"/>
      <w:r w:rsidRPr="00244EC1">
        <w:rPr>
          <w:sz w:val="22"/>
          <w:szCs w:val="24"/>
        </w:rPr>
        <w:t>NEETer</w:t>
      </w:r>
      <w:proofErr w:type="spellEnd"/>
      <w:r w:rsidRPr="00244EC1">
        <w:rPr>
          <w:sz w:val="22"/>
          <w:szCs w:val="24"/>
        </w:rPr>
        <w:t xml:space="preserve"> har seks ganger større sannsynlighet for å føle seg deprimert, og ni ganger større sannsynlighet for å rapportere om dårlig helse, enn andre unge i Norge.</w:t>
      </w:r>
      <w:r w:rsidRPr="00244EC1">
        <w:rPr>
          <w:rStyle w:val="Fotnotereferanse"/>
          <w:sz w:val="22"/>
          <w:szCs w:val="24"/>
        </w:rPr>
        <w:footnoteReference w:id="15"/>
      </w:r>
      <w:r w:rsidRPr="00244EC1">
        <w:rPr>
          <w:sz w:val="22"/>
          <w:szCs w:val="24"/>
        </w:rPr>
        <w:t xml:space="preserve"> Denne differansen er større enn EU- og OECD-gjennomsnittet.</w:t>
      </w:r>
    </w:p>
    <w:p w14:paraId="7F5B23BA" w14:textId="1E38D60A" w:rsidR="00DE576F" w:rsidRDefault="00244EC1" w:rsidP="00DE576F">
      <w:pPr>
        <w:spacing w:after="200"/>
        <w:jc w:val="both"/>
        <w:rPr>
          <w:rFonts w:ascii="Open Sans" w:eastAsia="Times New Roman" w:hAnsi="Open Sans" w:cs="Open Sans"/>
          <w:bCs/>
          <w:color w:val="000000"/>
          <w:sz w:val="22"/>
          <w:szCs w:val="24"/>
          <w:lang w:eastAsia="nb-NO"/>
        </w:rPr>
      </w:pPr>
      <w:r w:rsidRPr="00244EC1">
        <w:rPr>
          <w:sz w:val="22"/>
          <w:szCs w:val="24"/>
        </w:rPr>
        <w:t xml:space="preserve">Risikoen for å havne utenfor øker med varigheten til arbeidsløshetsperioden. </w:t>
      </w:r>
      <w:r w:rsidR="00DE576F" w:rsidRPr="00244EC1">
        <w:rPr>
          <w:rFonts w:ascii="Open Sans" w:eastAsia="Times New Roman" w:hAnsi="Open Sans" w:cs="Open Sans"/>
          <w:bCs/>
          <w:color w:val="000000"/>
          <w:sz w:val="22"/>
          <w:szCs w:val="24"/>
          <w:lang w:eastAsia="nb-NO"/>
        </w:rPr>
        <w:t>Arbeidssøkerne har i større grad hatt lenger ledighetsperioder nå enn før pandemien. Ved utgangen av april 2022 hadde 23 000 personer vært registrert som arbeidssøker</w:t>
      </w:r>
      <w:r w:rsidR="00DE576F" w:rsidRPr="00244EC1">
        <w:rPr>
          <w:rStyle w:val="Fotnotereferanse"/>
          <w:rFonts w:ascii="Open Sans" w:eastAsia="Times New Roman" w:hAnsi="Open Sans" w:cs="Open Sans"/>
          <w:bCs/>
          <w:color w:val="000000"/>
          <w:sz w:val="22"/>
          <w:szCs w:val="24"/>
          <w:lang w:eastAsia="nb-NO"/>
        </w:rPr>
        <w:footnoteReference w:id="16"/>
      </w:r>
      <w:r w:rsidR="00DE576F" w:rsidRPr="00244EC1">
        <w:rPr>
          <w:rFonts w:ascii="Open Sans" w:eastAsia="Times New Roman" w:hAnsi="Open Sans" w:cs="Open Sans"/>
          <w:bCs/>
          <w:color w:val="000000"/>
          <w:sz w:val="22"/>
          <w:szCs w:val="24"/>
          <w:lang w:eastAsia="nb-NO"/>
        </w:rPr>
        <w:t xml:space="preserve"> i over to år. Det utgjør omtrent hver fjerde arbeidssøker. Vel 4 av 10 har vært arbeidssøker i over ett år, en langt høyere andel enn under oljepriskrisen og finanskrisen.</w:t>
      </w:r>
      <w:r w:rsidR="00DE576F" w:rsidRPr="00244EC1">
        <w:rPr>
          <w:rStyle w:val="Fotnotereferanse"/>
          <w:rFonts w:ascii="Open Sans" w:eastAsia="Times New Roman" w:hAnsi="Open Sans" w:cs="Open Sans"/>
          <w:bCs/>
          <w:color w:val="000000"/>
          <w:sz w:val="22"/>
          <w:szCs w:val="24"/>
          <w:lang w:eastAsia="nb-NO"/>
        </w:rPr>
        <w:footnoteReference w:id="17"/>
      </w:r>
      <w:r w:rsidR="00DE576F" w:rsidRPr="00244EC1">
        <w:rPr>
          <w:rFonts w:ascii="Open Sans" w:eastAsia="Times New Roman" w:hAnsi="Open Sans" w:cs="Open Sans"/>
          <w:bCs/>
          <w:color w:val="000000"/>
          <w:sz w:val="22"/>
          <w:szCs w:val="24"/>
          <w:lang w:eastAsia="nb-NO"/>
        </w:rPr>
        <w:t xml:space="preserve"> Omtrent halvparten er innvandrere og 65 pst. har enten grunnskole eller videregående skole som høyeste fullførte utdanning. De er eldre enn arbeidssøkere generelt, og har i større grad yrkesbakgrunn fra reiseliv og transport, butikk- og salgsarbeid og serviceyrker og annet arbeid. Oslo og Viken er også noe overrepresentert.</w:t>
      </w:r>
    </w:p>
    <w:p w14:paraId="0B67DB20" w14:textId="77777777" w:rsidR="00961844" w:rsidRPr="00244EC1" w:rsidRDefault="00961844" w:rsidP="00961844">
      <w:pPr>
        <w:spacing w:after="200"/>
        <w:jc w:val="center"/>
        <w:rPr>
          <w:rFonts w:ascii="Open Sans" w:eastAsia="Times New Roman" w:hAnsi="Open Sans" w:cs="Open Sans"/>
          <w:b/>
          <w:color w:val="000000"/>
          <w:sz w:val="22"/>
          <w:szCs w:val="24"/>
          <w:lang w:eastAsia="nb-NO"/>
        </w:rPr>
      </w:pPr>
      <w:r w:rsidRPr="00244EC1">
        <w:rPr>
          <w:rFonts w:ascii="Open Sans" w:eastAsia="Times New Roman" w:hAnsi="Open Sans" w:cs="Open Sans"/>
          <w:b/>
          <w:color w:val="000000"/>
          <w:sz w:val="22"/>
          <w:szCs w:val="24"/>
          <w:lang w:eastAsia="nb-NO"/>
        </w:rPr>
        <w:t>Langtidsarbeidssøkere</w:t>
      </w:r>
      <w:r w:rsidRPr="00244EC1">
        <w:rPr>
          <w:rStyle w:val="Fotnotereferanse"/>
          <w:rFonts w:ascii="Open Sans" w:eastAsia="Times New Roman" w:hAnsi="Open Sans" w:cs="Open Sans"/>
          <w:b/>
          <w:color w:val="000000"/>
          <w:sz w:val="22"/>
          <w:szCs w:val="24"/>
          <w:lang w:eastAsia="nb-NO"/>
        </w:rPr>
        <w:footnoteReference w:id="18"/>
      </w:r>
      <w:r w:rsidRPr="00244EC1">
        <w:rPr>
          <w:rFonts w:ascii="Open Sans" w:eastAsia="Times New Roman" w:hAnsi="Open Sans" w:cs="Open Sans"/>
          <w:b/>
          <w:color w:val="000000"/>
          <w:sz w:val="22"/>
          <w:szCs w:val="24"/>
          <w:lang w:eastAsia="nb-NO"/>
        </w:rPr>
        <w:t xml:space="preserve"> gjennom pandemien</w:t>
      </w:r>
    </w:p>
    <w:p w14:paraId="2A4E13A6" w14:textId="77777777" w:rsidR="00961844" w:rsidRPr="00244EC1" w:rsidRDefault="00961844" w:rsidP="00961844">
      <w:pPr>
        <w:spacing w:after="200"/>
        <w:jc w:val="center"/>
        <w:rPr>
          <w:sz w:val="22"/>
          <w:szCs w:val="24"/>
        </w:rPr>
      </w:pPr>
      <w:r w:rsidRPr="00244EC1">
        <w:rPr>
          <w:noProof/>
          <w:sz w:val="22"/>
          <w:szCs w:val="24"/>
        </w:rPr>
        <w:drawing>
          <wp:inline distT="0" distB="0" distL="0" distR="0" wp14:anchorId="15476D33" wp14:editId="5853996F">
            <wp:extent cx="5636260" cy="2370221"/>
            <wp:effectExtent l="0" t="0" r="2540" b="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8E3936" w14:textId="407FC1BD" w:rsidR="00961844" w:rsidRPr="00961844" w:rsidRDefault="00961844" w:rsidP="00961844">
      <w:pPr>
        <w:spacing w:after="200"/>
        <w:jc w:val="center"/>
        <w:rPr>
          <w:szCs w:val="20"/>
        </w:rPr>
      </w:pPr>
      <w:r w:rsidRPr="00244EC1">
        <w:rPr>
          <w:szCs w:val="20"/>
        </w:rPr>
        <w:t>Kilde: NAV</w:t>
      </w:r>
    </w:p>
    <w:p w14:paraId="2D4D498E" w14:textId="544381CC" w:rsidR="00244EC1" w:rsidRPr="00244EC1" w:rsidRDefault="00244EC1" w:rsidP="00244EC1">
      <w:pPr>
        <w:spacing w:after="200"/>
        <w:jc w:val="both"/>
        <w:rPr>
          <w:sz w:val="22"/>
          <w:szCs w:val="24"/>
        </w:rPr>
      </w:pPr>
      <w:r w:rsidRPr="00244EC1">
        <w:rPr>
          <w:sz w:val="22"/>
          <w:szCs w:val="24"/>
        </w:rPr>
        <w:t>En NAV-analyse viste nesten en halvering av frafallet blant langtidssyke fra arbeidslivet i perioden 2002 til 2017.</w:t>
      </w:r>
      <w:r w:rsidRPr="00244EC1">
        <w:rPr>
          <w:rStyle w:val="Fotnotereferanse"/>
          <w:sz w:val="22"/>
          <w:szCs w:val="24"/>
        </w:rPr>
        <w:footnoteReference w:id="19"/>
      </w:r>
      <w:r w:rsidRPr="00244EC1">
        <w:rPr>
          <w:sz w:val="22"/>
          <w:szCs w:val="24"/>
        </w:rPr>
        <w:t xml:space="preserve"> Koronapandemien kan på sikt snu denne trenden, bl.a. som følge av de mange langtidsarbeidssøkerne. Et arbeidsliv som </w:t>
      </w:r>
      <w:r w:rsidRPr="00244EC1">
        <w:rPr>
          <w:sz w:val="22"/>
          <w:szCs w:val="24"/>
        </w:rPr>
        <w:lastRenderedPageBreak/>
        <w:t xml:space="preserve">klarer å inkludere flere som i utgangspunktet har en svak arbeidstilknytning vil også kunne oppleve høyere frafall. Bedre arbeidsmiljø vil derimot isolert sett kunne redusere frafallet. </w:t>
      </w:r>
    </w:p>
    <w:p w14:paraId="7AF05068" w14:textId="65BB0D2F" w:rsidR="00244EC1" w:rsidRDefault="00244EC1" w:rsidP="00244EC1">
      <w:pPr>
        <w:spacing w:after="200"/>
        <w:jc w:val="both"/>
        <w:rPr>
          <w:sz w:val="22"/>
          <w:szCs w:val="24"/>
        </w:rPr>
      </w:pPr>
      <w:r w:rsidRPr="00244EC1">
        <w:rPr>
          <w:sz w:val="22"/>
          <w:szCs w:val="24"/>
        </w:rPr>
        <w:t xml:space="preserve">Samlet sett indikerer utviklingen i mottakere av varige ytelser, antallet personer utenfor arbeidsstyrken og ikke minst langtidsarbeidssøkernes sammensetning, at inkluderingsutfordringen blant de </w:t>
      </w:r>
      <w:r w:rsidR="00803133">
        <w:rPr>
          <w:sz w:val="22"/>
          <w:szCs w:val="24"/>
        </w:rPr>
        <w:t xml:space="preserve">yngste og de </w:t>
      </w:r>
      <w:r w:rsidRPr="00244EC1">
        <w:rPr>
          <w:sz w:val="22"/>
          <w:szCs w:val="24"/>
        </w:rPr>
        <w:t>aller eldste er betydelig.</w:t>
      </w:r>
    </w:p>
    <w:p w14:paraId="2D8EA8E1" w14:textId="77777777" w:rsidR="00B60D4A" w:rsidRPr="00244EC1" w:rsidRDefault="00B60D4A" w:rsidP="00B60D4A">
      <w:pPr>
        <w:spacing w:after="200"/>
        <w:jc w:val="center"/>
        <w:rPr>
          <w:rFonts w:ascii="Open Sans" w:eastAsia="Times New Roman" w:hAnsi="Open Sans" w:cs="Open Sans"/>
          <w:b/>
          <w:color w:val="000000"/>
          <w:sz w:val="22"/>
          <w:szCs w:val="24"/>
          <w:lang w:eastAsia="nb-NO"/>
        </w:rPr>
      </w:pPr>
      <w:r w:rsidRPr="00244EC1">
        <w:rPr>
          <w:rFonts w:ascii="Open Sans" w:eastAsia="Times New Roman" w:hAnsi="Open Sans" w:cs="Open Sans"/>
          <w:b/>
          <w:color w:val="000000"/>
          <w:sz w:val="22"/>
          <w:szCs w:val="24"/>
          <w:lang w:eastAsia="nb-NO"/>
        </w:rPr>
        <w:t>Arbeidssøkere på ulike tiltak, årsgjennomsnitt</w:t>
      </w:r>
      <w:r w:rsidRPr="00244EC1">
        <w:rPr>
          <w:rStyle w:val="Fotnotereferanse"/>
          <w:rFonts w:ascii="Open Sans" w:eastAsia="Times New Roman" w:hAnsi="Open Sans" w:cs="Open Sans"/>
          <w:bCs/>
          <w:color w:val="000000"/>
          <w:sz w:val="22"/>
          <w:szCs w:val="24"/>
          <w:lang w:eastAsia="nb-NO"/>
        </w:rPr>
        <w:footnoteReference w:id="20"/>
      </w:r>
    </w:p>
    <w:p w14:paraId="54F19BD3" w14:textId="77777777" w:rsidR="00B60D4A" w:rsidRPr="00244EC1" w:rsidRDefault="00B60D4A" w:rsidP="00B60D4A">
      <w:pPr>
        <w:spacing w:after="200"/>
        <w:rPr>
          <w:rFonts w:ascii="Open Sans" w:eastAsia="Times New Roman" w:hAnsi="Open Sans" w:cs="Open Sans"/>
          <w:b/>
          <w:color w:val="000000"/>
          <w:sz w:val="22"/>
          <w:szCs w:val="24"/>
          <w:lang w:eastAsia="nb-NO"/>
        </w:rPr>
      </w:pPr>
      <w:r w:rsidRPr="00244EC1">
        <w:rPr>
          <w:rFonts w:ascii="Open Sans" w:eastAsia="Times New Roman" w:hAnsi="Open Sans" w:cs="Open Sans"/>
          <w:b/>
          <w:noProof/>
          <w:color w:val="000000"/>
          <w:sz w:val="22"/>
          <w:szCs w:val="24"/>
          <w:lang w:eastAsia="nb-NO"/>
        </w:rPr>
        <w:drawing>
          <wp:inline distT="0" distB="0" distL="0" distR="0" wp14:anchorId="4B94CECC" wp14:editId="5D92D169">
            <wp:extent cx="5720715" cy="1771135"/>
            <wp:effectExtent l="0" t="0" r="0" b="63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5CA764" w14:textId="48611AC1" w:rsidR="00B60D4A" w:rsidRPr="00B60D4A" w:rsidRDefault="00B60D4A" w:rsidP="00B60D4A">
      <w:pPr>
        <w:jc w:val="center"/>
        <w:rPr>
          <w:szCs w:val="20"/>
        </w:rPr>
      </w:pPr>
      <w:r w:rsidRPr="00244EC1">
        <w:rPr>
          <w:szCs w:val="20"/>
        </w:rPr>
        <w:t>Kilde: NAV</w:t>
      </w:r>
    </w:p>
    <w:p w14:paraId="70499100" w14:textId="25C08AE8" w:rsidR="00244EC1" w:rsidRPr="00244EC1" w:rsidRDefault="00244EC1" w:rsidP="00244EC1">
      <w:pPr>
        <w:spacing w:after="200"/>
        <w:jc w:val="both"/>
        <w:rPr>
          <w:rFonts w:ascii="Open Sans" w:eastAsia="Times New Roman" w:hAnsi="Open Sans" w:cs="Open Sans"/>
          <w:bCs/>
          <w:color w:val="000000"/>
          <w:sz w:val="22"/>
          <w:szCs w:val="24"/>
          <w:lang w:eastAsia="nb-NO"/>
        </w:rPr>
      </w:pPr>
      <w:r w:rsidRPr="00244EC1">
        <w:rPr>
          <w:rFonts w:ascii="Open Sans" w:eastAsia="Times New Roman" w:hAnsi="Open Sans" w:cs="Open Sans"/>
          <w:bCs/>
          <w:color w:val="000000"/>
          <w:sz w:val="22"/>
          <w:szCs w:val="24"/>
          <w:lang w:eastAsia="nb-NO"/>
        </w:rPr>
        <w:t xml:space="preserve">For en del av disse skal det ikke så mye til av tilrettelegging og støtte for å få </w:t>
      </w:r>
      <w:r w:rsidR="002F431D">
        <w:rPr>
          <w:rFonts w:ascii="Open Sans" w:eastAsia="Times New Roman" w:hAnsi="Open Sans" w:cs="Open Sans"/>
          <w:bCs/>
          <w:color w:val="000000"/>
          <w:sz w:val="22"/>
          <w:szCs w:val="24"/>
          <w:lang w:eastAsia="nb-NO"/>
        </w:rPr>
        <w:t>fotfeste</w:t>
      </w:r>
      <w:r w:rsidRPr="00244EC1">
        <w:rPr>
          <w:rFonts w:ascii="Open Sans" w:eastAsia="Times New Roman" w:hAnsi="Open Sans" w:cs="Open Sans"/>
          <w:bCs/>
          <w:color w:val="000000"/>
          <w:sz w:val="22"/>
          <w:szCs w:val="24"/>
          <w:lang w:eastAsia="nb-NO"/>
        </w:rPr>
        <w:t xml:space="preserve"> i </w:t>
      </w:r>
      <w:r w:rsidR="002F431D">
        <w:rPr>
          <w:rFonts w:ascii="Open Sans" w:eastAsia="Times New Roman" w:hAnsi="Open Sans" w:cs="Open Sans"/>
          <w:bCs/>
          <w:color w:val="000000"/>
          <w:sz w:val="22"/>
          <w:szCs w:val="24"/>
          <w:lang w:eastAsia="nb-NO"/>
        </w:rPr>
        <w:t xml:space="preserve">arbeidslivet </w:t>
      </w:r>
      <w:r w:rsidRPr="00244EC1">
        <w:rPr>
          <w:rFonts w:ascii="Open Sans" w:eastAsia="Times New Roman" w:hAnsi="Open Sans" w:cs="Open Sans"/>
          <w:bCs/>
          <w:color w:val="000000"/>
          <w:sz w:val="22"/>
          <w:szCs w:val="24"/>
          <w:lang w:eastAsia="nb-NO"/>
        </w:rPr>
        <w:t>og komme inn i en god sirkel. For andre trengs det lengre og mer omfattende tiltak. Det brede inkluderingsarbeidet avhenger av tett og god oppfølging av arbeidssøkere og effektive arbeidsmarkedstiltak. Erfaringsmessig er det enklere å inkludere utsatte grupper på arbeidsmarkedet, ved hjelp av arbeidsmarkedstiltak, i perioder med høy etterspørsel etter arbeidskraft, jfr. også Sysselsettingsutvalgets påpekninger av dette.</w:t>
      </w:r>
      <w:r w:rsidRPr="00244EC1">
        <w:rPr>
          <w:rStyle w:val="Fotnotereferanse"/>
          <w:rFonts w:ascii="Open Sans" w:eastAsia="Times New Roman" w:hAnsi="Open Sans" w:cs="Open Sans"/>
          <w:bCs/>
          <w:color w:val="000000"/>
          <w:sz w:val="22"/>
          <w:szCs w:val="24"/>
          <w:lang w:eastAsia="nb-NO"/>
        </w:rPr>
        <w:footnoteReference w:id="21"/>
      </w:r>
      <w:r w:rsidR="00307ADA">
        <w:rPr>
          <w:rFonts w:ascii="Open Sans" w:eastAsia="Times New Roman" w:hAnsi="Open Sans" w:cs="Open Sans"/>
          <w:bCs/>
          <w:color w:val="000000"/>
          <w:sz w:val="22"/>
          <w:szCs w:val="24"/>
          <w:lang w:eastAsia="nb-NO"/>
        </w:rPr>
        <w:t xml:space="preserve"> </w:t>
      </w:r>
      <w:r w:rsidRPr="00244EC1">
        <w:rPr>
          <w:rFonts w:ascii="Open Sans" w:eastAsia="Times New Roman" w:hAnsi="Open Sans" w:cs="Open Sans"/>
          <w:bCs/>
          <w:color w:val="000000"/>
          <w:sz w:val="22"/>
          <w:szCs w:val="24"/>
          <w:lang w:eastAsia="nb-NO"/>
        </w:rPr>
        <w:t>Siden 2018 har de ordinære tiltaksplassene</w:t>
      </w:r>
      <w:r w:rsidRPr="00244EC1">
        <w:rPr>
          <w:rStyle w:val="Fotnotereferanse"/>
          <w:rFonts w:ascii="Open Sans" w:eastAsia="Times New Roman" w:hAnsi="Open Sans" w:cs="Open Sans"/>
          <w:bCs/>
          <w:color w:val="000000"/>
          <w:sz w:val="22"/>
          <w:szCs w:val="24"/>
          <w:lang w:eastAsia="nb-NO"/>
        </w:rPr>
        <w:footnoteReference w:id="22"/>
      </w:r>
      <w:r w:rsidRPr="00244EC1">
        <w:rPr>
          <w:rFonts w:ascii="Open Sans" w:eastAsia="Times New Roman" w:hAnsi="Open Sans" w:cs="Open Sans"/>
          <w:bCs/>
          <w:color w:val="000000"/>
          <w:sz w:val="22"/>
          <w:szCs w:val="24"/>
          <w:lang w:eastAsia="nb-NO"/>
        </w:rPr>
        <w:t xml:space="preserve"> dreid seg mot mer oppfølging og opplæring, og mindre bruk av arbeidspraksis. Antallet lønnstilskuddsplasser har derimot ligget relativt stabilt, til tross for deres dokumenterte effektivitet.</w:t>
      </w:r>
      <w:r w:rsidRPr="00244EC1">
        <w:rPr>
          <w:rStyle w:val="Fotnotereferanse"/>
          <w:rFonts w:ascii="Open Sans" w:eastAsia="Times New Roman" w:hAnsi="Open Sans" w:cs="Open Sans"/>
          <w:bCs/>
          <w:color w:val="000000"/>
          <w:sz w:val="22"/>
          <w:szCs w:val="24"/>
          <w:lang w:eastAsia="nb-NO"/>
        </w:rPr>
        <w:footnoteReference w:id="23"/>
      </w:r>
      <w:r w:rsidRPr="00244EC1">
        <w:rPr>
          <w:rFonts w:ascii="Open Sans" w:eastAsia="Times New Roman" w:hAnsi="Open Sans" w:cs="Open Sans"/>
          <w:bCs/>
          <w:color w:val="000000"/>
          <w:sz w:val="22"/>
          <w:szCs w:val="24"/>
          <w:lang w:eastAsia="nb-NO"/>
        </w:rPr>
        <w:t xml:space="preserve"> S</w:t>
      </w:r>
      <w:r w:rsidR="005846D4">
        <w:rPr>
          <w:rFonts w:ascii="Open Sans" w:eastAsia="Times New Roman" w:hAnsi="Open Sans" w:cs="Open Sans"/>
          <w:bCs/>
          <w:color w:val="000000"/>
          <w:sz w:val="22"/>
          <w:szCs w:val="24"/>
          <w:lang w:eastAsia="nb-NO"/>
        </w:rPr>
        <w:t xml:space="preserve">elv om arbeidsmarkedspolitikken er en sentral del av den norske modellen, </w:t>
      </w:r>
      <w:r w:rsidRPr="00244EC1">
        <w:rPr>
          <w:rFonts w:ascii="Open Sans" w:eastAsia="Times New Roman" w:hAnsi="Open Sans" w:cs="Open Sans"/>
          <w:bCs/>
          <w:color w:val="000000"/>
          <w:sz w:val="22"/>
          <w:szCs w:val="24"/>
          <w:lang w:eastAsia="nb-NO"/>
        </w:rPr>
        <w:t>er det en svakere satsing på arbeidsmarkedstiltak i Norge</w:t>
      </w:r>
      <w:r w:rsidR="002B065A">
        <w:rPr>
          <w:rFonts w:ascii="Open Sans" w:eastAsia="Times New Roman" w:hAnsi="Open Sans" w:cs="Open Sans"/>
          <w:bCs/>
          <w:color w:val="000000"/>
          <w:sz w:val="22"/>
          <w:szCs w:val="24"/>
          <w:lang w:eastAsia="nb-NO"/>
        </w:rPr>
        <w:t xml:space="preserve"> enn </w:t>
      </w:r>
      <w:r w:rsidR="00C22273">
        <w:rPr>
          <w:rFonts w:ascii="Open Sans" w:eastAsia="Times New Roman" w:hAnsi="Open Sans" w:cs="Open Sans"/>
          <w:bCs/>
          <w:color w:val="000000"/>
          <w:sz w:val="22"/>
          <w:szCs w:val="24"/>
          <w:lang w:eastAsia="nb-NO"/>
        </w:rPr>
        <w:t xml:space="preserve">i </w:t>
      </w:r>
      <w:r w:rsidR="002B065A" w:rsidRPr="002B065A">
        <w:rPr>
          <w:rFonts w:ascii="Open Sans" w:eastAsia="Times New Roman" w:hAnsi="Open Sans" w:cs="Open Sans"/>
          <w:bCs/>
          <w:color w:val="000000"/>
          <w:sz w:val="22"/>
          <w:szCs w:val="24"/>
          <w:lang w:eastAsia="nb-NO"/>
        </w:rPr>
        <w:t>andre skandinaviske land</w:t>
      </w:r>
      <w:r w:rsidRPr="00244EC1">
        <w:rPr>
          <w:rFonts w:ascii="Open Sans" w:eastAsia="Times New Roman" w:hAnsi="Open Sans" w:cs="Open Sans"/>
          <w:bCs/>
          <w:color w:val="000000"/>
          <w:sz w:val="22"/>
          <w:szCs w:val="24"/>
          <w:lang w:eastAsia="nb-NO"/>
        </w:rPr>
        <w:t xml:space="preserve">. </w:t>
      </w:r>
    </w:p>
    <w:p w14:paraId="544C0053" w14:textId="77777777" w:rsidR="00A70689" w:rsidRDefault="00A70689">
      <w:pPr>
        <w:spacing w:after="160" w:line="259" w:lineRule="auto"/>
        <w:rPr>
          <w:rFonts w:ascii="Open Sans" w:eastAsia="Times New Roman" w:hAnsi="Open Sans" w:cs="Open Sans"/>
          <w:b/>
          <w:color w:val="000000"/>
          <w:sz w:val="22"/>
          <w:szCs w:val="24"/>
          <w:lang w:eastAsia="nb-NO"/>
        </w:rPr>
      </w:pPr>
      <w:r>
        <w:rPr>
          <w:rFonts w:ascii="Open Sans" w:eastAsia="Times New Roman" w:hAnsi="Open Sans" w:cs="Open Sans"/>
          <w:b/>
          <w:color w:val="000000"/>
          <w:sz w:val="22"/>
          <w:szCs w:val="24"/>
          <w:lang w:eastAsia="nb-NO"/>
        </w:rPr>
        <w:br w:type="page"/>
      </w:r>
    </w:p>
    <w:p w14:paraId="0ECBA913" w14:textId="1106FE07" w:rsidR="00244EC1" w:rsidRPr="00244EC1" w:rsidRDefault="00244EC1" w:rsidP="00244EC1">
      <w:pPr>
        <w:spacing w:after="200"/>
        <w:jc w:val="center"/>
        <w:rPr>
          <w:rFonts w:ascii="Open Sans" w:eastAsia="Times New Roman" w:hAnsi="Open Sans" w:cs="Open Sans"/>
          <w:b/>
          <w:color w:val="000000"/>
          <w:sz w:val="22"/>
          <w:szCs w:val="24"/>
          <w:lang w:eastAsia="nb-NO"/>
        </w:rPr>
      </w:pPr>
      <w:r w:rsidRPr="00244EC1">
        <w:rPr>
          <w:rFonts w:ascii="Open Sans" w:eastAsia="Times New Roman" w:hAnsi="Open Sans" w:cs="Open Sans"/>
          <w:b/>
          <w:color w:val="000000"/>
          <w:sz w:val="22"/>
          <w:szCs w:val="24"/>
          <w:lang w:eastAsia="nb-NO"/>
        </w:rPr>
        <w:lastRenderedPageBreak/>
        <w:t>Utgifter brukt på arbeidsmarkedstiltak i ulike land. Prosent av BNP</w:t>
      </w:r>
    </w:p>
    <w:p w14:paraId="362203F6" w14:textId="77777777" w:rsidR="00244EC1" w:rsidRPr="00244EC1" w:rsidRDefault="00244EC1" w:rsidP="00244EC1">
      <w:pPr>
        <w:jc w:val="center"/>
        <w:rPr>
          <w:sz w:val="22"/>
          <w:szCs w:val="24"/>
          <w:lang w:eastAsia="nb-NO"/>
        </w:rPr>
      </w:pPr>
      <w:r w:rsidRPr="00244EC1">
        <w:rPr>
          <w:noProof/>
          <w:sz w:val="22"/>
          <w:szCs w:val="24"/>
          <w:lang w:eastAsia="nb-NO"/>
        </w:rPr>
        <w:drawing>
          <wp:inline distT="0" distB="0" distL="0" distR="0" wp14:anchorId="6B049824" wp14:editId="4C4CFE6A">
            <wp:extent cx="5486400" cy="2224216"/>
            <wp:effectExtent l="0" t="0" r="0" b="508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FEC7D6" w14:textId="77777777" w:rsidR="00244EC1" w:rsidRPr="00244EC1" w:rsidRDefault="00244EC1" w:rsidP="00244EC1">
      <w:pPr>
        <w:jc w:val="center"/>
        <w:rPr>
          <w:szCs w:val="20"/>
          <w:lang w:eastAsia="nb-NO"/>
        </w:rPr>
      </w:pPr>
      <w:r w:rsidRPr="00244EC1">
        <w:rPr>
          <w:szCs w:val="20"/>
          <w:lang w:eastAsia="nb-NO"/>
        </w:rPr>
        <w:t>Kilde: OECD</w:t>
      </w:r>
    </w:p>
    <w:p w14:paraId="35BEBDF3" w14:textId="77777777" w:rsidR="00723672" w:rsidRPr="00723672" w:rsidRDefault="00723672" w:rsidP="00723672">
      <w:pPr>
        <w:spacing w:after="200"/>
        <w:jc w:val="both"/>
        <w:rPr>
          <w:rFonts w:ascii="Open Sans" w:eastAsia="Times New Roman" w:hAnsi="Open Sans" w:cs="Open Sans"/>
          <w:bCs/>
          <w:color w:val="000000"/>
          <w:sz w:val="22"/>
          <w:szCs w:val="24"/>
          <w:lang w:eastAsia="nb-NO"/>
        </w:rPr>
      </w:pPr>
    </w:p>
    <w:p w14:paraId="74A3415A" w14:textId="77777777" w:rsidR="00723672" w:rsidRPr="002E0C2B" w:rsidRDefault="00723672" w:rsidP="002E0C2B">
      <w:pPr>
        <w:shd w:val="clear" w:color="auto" w:fill="FFFFFF"/>
        <w:spacing w:before="240" w:after="120" w:line="240" w:lineRule="auto"/>
        <w:jc w:val="both"/>
        <w:rPr>
          <w:rFonts w:ascii="Open Sans" w:eastAsia="Times New Roman" w:hAnsi="Open Sans" w:cs="Open Sans"/>
          <w:b/>
          <w:color w:val="000000"/>
          <w:sz w:val="22"/>
          <w:lang w:eastAsia="nb-NO"/>
        </w:rPr>
      </w:pPr>
    </w:p>
    <w:p w14:paraId="3D1D353E" w14:textId="77777777" w:rsidR="002E0C2B" w:rsidRDefault="002E0C2B" w:rsidP="00912114">
      <w:pPr>
        <w:rPr>
          <w:b/>
          <w:bCs/>
          <w:sz w:val="40"/>
          <w:szCs w:val="44"/>
        </w:rPr>
      </w:pPr>
    </w:p>
    <w:p w14:paraId="1BFC0BF8" w14:textId="77777777" w:rsidR="002E0C2B" w:rsidRPr="002E0C2B" w:rsidRDefault="002E0C2B" w:rsidP="00912114">
      <w:pPr>
        <w:rPr>
          <w:b/>
          <w:bCs/>
          <w:sz w:val="40"/>
          <w:szCs w:val="44"/>
        </w:rPr>
      </w:pPr>
    </w:p>
    <w:p w14:paraId="67F78D68" w14:textId="4AEAA73F" w:rsidR="00912114" w:rsidRDefault="00D04378" w:rsidP="00912114">
      <w:pPr>
        <w:pStyle w:val="Overskrift1"/>
      </w:pPr>
      <w:bookmarkStart w:id="7" w:name="_Toc103066738"/>
      <w:r>
        <w:lastRenderedPageBreak/>
        <w:t>Internasjonal økonomi</w:t>
      </w:r>
      <w:r w:rsidR="003F4B03">
        <w:t xml:space="preserve"> og energi</w:t>
      </w:r>
      <w:bookmarkEnd w:id="7"/>
    </w:p>
    <w:p w14:paraId="30883786" w14:textId="4752E08D" w:rsidR="00A9575F" w:rsidRPr="00F358FD" w:rsidRDefault="003F4B03" w:rsidP="003F4B03">
      <w:pPr>
        <w:pStyle w:val="Overskrift2"/>
        <w:rPr>
          <w:sz w:val="22"/>
          <w:szCs w:val="28"/>
        </w:rPr>
      </w:pPr>
      <w:bookmarkStart w:id="8" w:name="_Toc103066739"/>
      <w:r w:rsidRPr="00F358FD">
        <w:rPr>
          <w:sz w:val="22"/>
          <w:szCs w:val="28"/>
        </w:rPr>
        <w:t>Internasjonal økonomi</w:t>
      </w:r>
      <w:bookmarkEnd w:id="8"/>
    </w:p>
    <w:p w14:paraId="1CC2330A" w14:textId="7D5E13EC" w:rsidR="008E1C40" w:rsidRDefault="008E1C40" w:rsidP="00A65043">
      <w:pPr>
        <w:pStyle w:val="Brdtekst"/>
        <w:jc w:val="both"/>
        <w:rPr>
          <w:rFonts w:ascii="Open Sans" w:eastAsia="Open Sans" w:hAnsi="Open Sans" w:cs="Open Sans"/>
          <w:sz w:val="22"/>
          <w:szCs w:val="22"/>
          <w:lang w:eastAsia="en-US"/>
        </w:rPr>
      </w:pPr>
      <w:r w:rsidRPr="008B4566">
        <w:rPr>
          <w:rFonts w:ascii="Open Sans" w:eastAsia="Open Sans" w:hAnsi="Open Sans" w:cs="Open Sans"/>
          <w:sz w:val="22"/>
          <w:szCs w:val="22"/>
          <w:lang w:eastAsia="en-US"/>
        </w:rPr>
        <w:t xml:space="preserve">Allerede før Russlands invasjon av Ukraina anslo internasjonale analysemiljøer en svak utvikling for den globale økonomien inneværende år. Privat konsum så ikke ut til å vende tilbake til tidligere forventede nivåer. Fjorårets </w:t>
      </w:r>
      <w:proofErr w:type="spellStart"/>
      <w:r w:rsidRPr="008B4566">
        <w:rPr>
          <w:rFonts w:ascii="Open Sans" w:eastAsia="Open Sans" w:hAnsi="Open Sans" w:cs="Open Sans"/>
          <w:sz w:val="22"/>
          <w:szCs w:val="22"/>
          <w:lang w:eastAsia="en-US"/>
        </w:rPr>
        <w:t>gjeninnhenting</w:t>
      </w:r>
      <w:proofErr w:type="spellEnd"/>
      <w:r w:rsidRPr="008B4566">
        <w:rPr>
          <w:rFonts w:ascii="Open Sans" w:eastAsia="Open Sans" w:hAnsi="Open Sans" w:cs="Open Sans"/>
          <w:sz w:val="22"/>
          <w:szCs w:val="22"/>
          <w:lang w:eastAsia="en-US"/>
        </w:rPr>
        <w:t xml:space="preserve"> gav et oppsving i global økonomisk årsvekst på 5,5 pst., men for 2022 må vi belage oss på en betydelig nedgang i global vekstrate på bakgrunn av en rekke faktorer: Nye varianter og utbrudd av COVID-19 har medført gjeninnføring og forlengelse av tiltak i Kina og flere andre land vi handler med. Dette har gitt reduksjon i økonomisk aktivitet og store forstyrrelser i internasjonal handel og en rekke varemarkeder som ikke klarer å ta unna opphopning i etterspørsel. Flaskehalser i råvare</w:t>
      </w:r>
      <w:r w:rsidR="002A3E8F">
        <w:rPr>
          <w:rFonts w:ascii="Open Sans" w:eastAsia="Open Sans" w:hAnsi="Open Sans" w:cs="Open Sans"/>
          <w:sz w:val="22"/>
          <w:szCs w:val="22"/>
          <w:lang w:eastAsia="en-US"/>
        </w:rPr>
        <w:t>-</w:t>
      </w:r>
      <w:r w:rsidRPr="008B4566">
        <w:rPr>
          <w:rFonts w:ascii="Open Sans" w:eastAsia="Open Sans" w:hAnsi="Open Sans" w:cs="Open Sans"/>
          <w:sz w:val="22"/>
          <w:szCs w:val="22"/>
          <w:lang w:eastAsia="en-US"/>
        </w:rPr>
        <w:t xml:space="preserve"> og energiforsyning har medført kraftigere og mer </w:t>
      </w:r>
      <w:proofErr w:type="spellStart"/>
      <w:r w:rsidRPr="008B4566">
        <w:rPr>
          <w:rFonts w:ascii="Open Sans" w:eastAsia="Open Sans" w:hAnsi="Open Sans" w:cs="Open Sans"/>
          <w:sz w:val="22"/>
          <w:szCs w:val="22"/>
          <w:lang w:eastAsia="en-US"/>
        </w:rPr>
        <w:t>dyptvirkende</w:t>
      </w:r>
      <w:proofErr w:type="spellEnd"/>
      <w:r w:rsidRPr="008B4566">
        <w:rPr>
          <w:rFonts w:ascii="Open Sans" w:eastAsia="Open Sans" w:hAnsi="Open Sans" w:cs="Open Sans"/>
          <w:sz w:val="22"/>
          <w:szCs w:val="22"/>
          <w:lang w:eastAsia="en-US"/>
        </w:rPr>
        <w:t xml:space="preserve"> inflasjon, særlig i USA, fremvoksende økonomier og </w:t>
      </w:r>
      <w:r w:rsidR="00D73EC5">
        <w:rPr>
          <w:rFonts w:ascii="Open Sans" w:eastAsia="Open Sans" w:hAnsi="Open Sans" w:cs="Open Sans"/>
          <w:sz w:val="22"/>
          <w:szCs w:val="22"/>
          <w:lang w:eastAsia="en-US"/>
        </w:rPr>
        <w:t>lavinntektsland</w:t>
      </w:r>
      <w:r w:rsidRPr="008B4566">
        <w:rPr>
          <w:rFonts w:ascii="Open Sans" w:eastAsia="Open Sans" w:hAnsi="Open Sans" w:cs="Open Sans"/>
          <w:sz w:val="22"/>
          <w:szCs w:val="22"/>
          <w:lang w:eastAsia="en-US"/>
        </w:rPr>
        <w:t xml:space="preserve">. Kollaps i Kinas eiendomssektor har gitt ringvirkninger i verdens finansmarkeder. </w:t>
      </w:r>
    </w:p>
    <w:p w14:paraId="50DDE409" w14:textId="02317DE5" w:rsidR="00995826" w:rsidRPr="008B4566" w:rsidRDefault="00995826" w:rsidP="00A65043">
      <w:pPr>
        <w:pStyle w:val="Brdtekst"/>
        <w:jc w:val="both"/>
        <w:rPr>
          <w:rFonts w:ascii="Open Sans" w:eastAsia="Open Sans" w:hAnsi="Open Sans" w:cs="Open Sans"/>
          <w:sz w:val="22"/>
          <w:szCs w:val="22"/>
          <w:lang w:eastAsia="en-US"/>
        </w:rPr>
      </w:pPr>
      <w:r w:rsidRPr="00995826">
        <w:rPr>
          <w:rFonts w:ascii="Open Sans" w:eastAsia="Open Sans" w:hAnsi="Open Sans" w:cs="Open Sans"/>
          <w:sz w:val="22"/>
          <w:szCs w:val="22"/>
          <w:lang w:eastAsia="en-US"/>
        </w:rPr>
        <w:object w:dxaOrig="21030" w:dyaOrig="8598" w14:anchorId="6C53A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pt;height:173.7pt" o:ole="">
            <v:imagedata r:id="rId38" o:title=""/>
          </v:shape>
          <o:OLEObject Type="Embed" ProgID="Mbnd.mbnd" ShapeID="_x0000_i1025" DrawAspect="Content" ObjectID="_1713687835" r:id="rId39"/>
        </w:object>
      </w:r>
    </w:p>
    <w:p w14:paraId="612CB90F" w14:textId="46355175" w:rsidR="008E1C40" w:rsidRPr="008B4566" w:rsidRDefault="008E1C40" w:rsidP="00A65043">
      <w:pPr>
        <w:pStyle w:val="Brdtekst"/>
        <w:jc w:val="both"/>
        <w:rPr>
          <w:rFonts w:ascii="Open Sans" w:eastAsia="Open Sans" w:hAnsi="Open Sans" w:cs="Open Sans"/>
          <w:sz w:val="22"/>
          <w:szCs w:val="22"/>
          <w:lang w:eastAsia="en-US"/>
        </w:rPr>
      </w:pPr>
      <w:r w:rsidRPr="008B4566">
        <w:rPr>
          <w:rFonts w:ascii="Open Sans" w:eastAsia="Open Sans" w:hAnsi="Open Sans" w:cs="Open Sans"/>
          <w:sz w:val="22"/>
          <w:szCs w:val="22"/>
          <w:lang w:eastAsia="en-US"/>
        </w:rPr>
        <w:t>Russlands invasjon og krigføring i Ukraina har provosert frem massive økonomiske sanksjoner mot Russland og store økonomiske ringvirkninger. Konflikten er et kraftig tilbakeslag som forsterker pågående negative utviklingstrekk - og skaper nye problemer i verdensøkonomien. Høyere globale priser på råvarer og energi fører til ytterligere økning og spredning av inflasjon. Samtidig med at naboland må håndtere en historisk stor flyktningstrøm, utsettes de, og nære handelspartnere, for store forstyrrelser i sine nasjonale økonomier. Den økte usikkerheten og inflasjonen rammer finansmarkedene, strammer inn nasjonal økonomisk politikk og fører til kapitalflukt fra mer risikable fremvoksende markeder.</w:t>
      </w:r>
    </w:p>
    <w:p w14:paraId="0BC457A8" w14:textId="77777777" w:rsidR="008E1C40" w:rsidRDefault="008E1C40" w:rsidP="00A65043">
      <w:pPr>
        <w:pStyle w:val="Brdtekst"/>
        <w:jc w:val="both"/>
        <w:rPr>
          <w:rFonts w:ascii="Open Sans" w:eastAsia="Open Sans" w:hAnsi="Open Sans" w:cs="Open Sans"/>
          <w:sz w:val="22"/>
          <w:szCs w:val="22"/>
          <w:lang w:eastAsia="en-US"/>
        </w:rPr>
      </w:pPr>
      <w:r w:rsidRPr="008B4566">
        <w:rPr>
          <w:rFonts w:ascii="Open Sans" w:eastAsia="Open Sans" w:hAnsi="Open Sans" w:cs="Open Sans"/>
          <w:sz w:val="22"/>
          <w:szCs w:val="22"/>
          <w:lang w:eastAsia="en-US"/>
        </w:rPr>
        <w:t>Både Russland og Ukraina er store råvareprodusenter. I Europa merkes</w:t>
      </w:r>
      <w:r w:rsidRPr="008B4566">
        <w:rPr>
          <w:rFonts w:ascii="Open Sans" w:eastAsia="Open Sans" w:hAnsi="Open Sans" w:cs="Open Sans"/>
          <w:sz w:val="28"/>
          <w:szCs w:val="28"/>
          <w:lang w:eastAsia="en-US"/>
        </w:rPr>
        <w:t xml:space="preserve"> </w:t>
      </w:r>
      <w:r w:rsidRPr="008B4566">
        <w:rPr>
          <w:rFonts w:ascii="Open Sans" w:eastAsia="Open Sans" w:hAnsi="Open Sans" w:cs="Open Sans"/>
          <w:sz w:val="22"/>
          <w:szCs w:val="22"/>
          <w:lang w:eastAsia="en-US"/>
        </w:rPr>
        <w:t>særlig konsekvensene av konflikten på energiprisene: Prisene på olje og naturgass har skutt i været og forplanter seg videre i industri og produksjon. For resten av verden er det er også svært bekymringsfullt at prisen på hvete er rekordhøy som følge av at Russland og Ukraina til sammen produserer 30 pst. av den globale eksporten, samt innsatsvarer til kunstgjødsel for matproduksjon. Dette skjer i en tid hvor antall mennesker utsatt for sult er stigende. FN varsler om stor fare for</w:t>
      </w:r>
      <w:r w:rsidRPr="008B4566">
        <w:rPr>
          <w:rFonts w:ascii="Open Sans" w:eastAsia="Open Sans" w:hAnsi="Open Sans" w:cs="Open Sans"/>
          <w:sz w:val="28"/>
          <w:szCs w:val="28"/>
          <w:lang w:eastAsia="en-US"/>
        </w:rPr>
        <w:t xml:space="preserve"> </w:t>
      </w:r>
      <w:r w:rsidRPr="008B4566">
        <w:rPr>
          <w:rFonts w:ascii="Open Sans" w:eastAsia="Open Sans" w:hAnsi="Open Sans" w:cs="Open Sans"/>
          <w:sz w:val="22"/>
          <w:szCs w:val="22"/>
          <w:lang w:eastAsia="en-US"/>
        </w:rPr>
        <w:t>akutt matvaremangel i en rekke land og regioner.</w:t>
      </w:r>
    </w:p>
    <w:p w14:paraId="12B1B22C" w14:textId="1A13FDE5" w:rsidR="00400C3D" w:rsidRPr="008B4566" w:rsidRDefault="00400C3D" w:rsidP="00A65043">
      <w:pPr>
        <w:pStyle w:val="Brdtekst"/>
        <w:jc w:val="both"/>
        <w:rPr>
          <w:rFonts w:ascii="Open Sans" w:eastAsia="Open Sans" w:hAnsi="Open Sans" w:cs="Open Sans"/>
          <w:sz w:val="22"/>
          <w:szCs w:val="22"/>
          <w:lang w:eastAsia="en-US"/>
        </w:rPr>
      </w:pPr>
      <w:r w:rsidRPr="00400C3D">
        <w:rPr>
          <w:rFonts w:ascii="Open Sans" w:eastAsia="Open Sans" w:hAnsi="Open Sans" w:cs="Open Sans"/>
          <w:sz w:val="22"/>
          <w:szCs w:val="22"/>
          <w:lang w:eastAsia="en-US"/>
        </w:rPr>
        <w:object w:dxaOrig="20265" w:dyaOrig="8470" w14:anchorId="450964E7">
          <v:shape id="_x0000_i1026" type="#_x0000_t75" style="width:424.6pt;height:177.4pt" o:ole="">
            <v:imagedata r:id="rId40" o:title=""/>
          </v:shape>
          <o:OLEObject Type="Embed" ProgID="Mbnd.mbnd" ShapeID="_x0000_i1026" DrawAspect="Content" ObjectID="_1713687836" r:id="rId41"/>
        </w:object>
      </w:r>
    </w:p>
    <w:p w14:paraId="24054EA4" w14:textId="4CE850C4" w:rsidR="002A3E8F" w:rsidRDefault="008E1C40" w:rsidP="00A65043">
      <w:pPr>
        <w:pStyle w:val="Brdtekst"/>
        <w:jc w:val="both"/>
        <w:rPr>
          <w:rFonts w:ascii="Open Sans" w:eastAsia="Open Sans" w:hAnsi="Open Sans" w:cs="Open Sans"/>
          <w:sz w:val="22"/>
          <w:szCs w:val="22"/>
          <w:lang w:eastAsia="en-US"/>
        </w:rPr>
      </w:pPr>
      <w:r w:rsidRPr="008B4566">
        <w:rPr>
          <w:rFonts w:ascii="Open Sans" w:eastAsia="Open Sans" w:hAnsi="Open Sans" w:cs="Open Sans"/>
          <w:sz w:val="22"/>
          <w:szCs w:val="22"/>
          <w:lang w:eastAsia="en-US"/>
        </w:rPr>
        <w:t>I likhet med andre analysemiljøer tror LO at veksten internasjonalt, og for våre handelspartnere, vil bli lavere enn hva man forventet i forkant av krigsutbruddet. Vi tror også på en oppjustering av prisveksten i Euro-området som følge av siste tids hendelser og problemer på tilbudssiden i økonomien. Hvor lenge lavkonjunkturen skal vare vil ha tett sammenheng med konfliktens utvikling, om nye smittebølger slår ut i nye omfattende tiltak - samt hvordan de underliggende ressursutfordringene rundt energi, gjødsel og mat og andre grunnleggende innsatsvarer løses. Mange land står nå ovenfor utfordringer i den økonomiske styringen gjennom pengepolitikken. Det er en krevende oppgave å dempe prisvekst drevet av tilbudssjokk, særlig ettersom mange land har historisk høye nivåer av privat gjeld.</w:t>
      </w:r>
    </w:p>
    <w:p w14:paraId="68760AA1" w14:textId="33958320" w:rsidR="002A3E8F" w:rsidRPr="00F358FD" w:rsidRDefault="001B55BF" w:rsidP="00A65043">
      <w:pPr>
        <w:pStyle w:val="Overskrift2"/>
        <w:jc w:val="both"/>
        <w:rPr>
          <w:sz w:val="22"/>
          <w:szCs w:val="28"/>
        </w:rPr>
      </w:pPr>
      <w:bookmarkStart w:id="9" w:name="_Toc103066740"/>
      <w:r w:rsidRPr="00F358FD">
        <w:rPr>
          <w:sz w:val="22"/>
          <w:szCs w:val="28"/>
        </w:rPr>
        <w:t>Globale energimarkeder og oljemarkedet</w:t>
      </w:r>
      <w:bookmarkEnd w:id="9"/>
      <w:r w:rsidRPr="00F358FD">
        <w:rPr>
          <w:sz w:val="22"/>
          <w:szCs w:val="28"/>
        </w:rPr>
        <w:t xml:space="preserve"> </w:t>
      </w:r>
    </w:p>
    <w:p w14:paraId="1D9F7970" w14:textId="77777777" w:rsidR="00F358FD" w:rsidRPr="00F358FD" w:rsidRDefault="00F358FD" w:rsidP="00A65043">
      <w:pPr>
        <w:pStyle w:val="Brdtekst"/>
        <w:jc w:val="both"/>
        <w:rPr>
          <w:rFonts w:ascii="Open Sans" w:hAnsi="Open Sans" w:cs="Open Sans"/>
          <w:sz w:val="22"/>
          <w:szCs w:val="22"/>
        </w:rPr>
      </w:pPr>
      <w:r w:rsidRPr="00F358FD">
        <w:rPr>
          <w:rFonts w:ascii="Open Sans" w:hAnsi="Open Sans" w:cs="Open Sans"/>
          <w:sz w:val="22"/>
          <w:szCs w:val="22"/>
        </w:rPr>
        <w:t xml:space="preserve">Under pandemien så man en sterk vekst i fornybar energi fra vind og sol, og salgsrekorder for elektriske kjøretøy. Samtidig har den ustabile gjeninnhentingen skapt store forsyningsproblemer i dagens energisystemer. I 2021 ble det stor oppgang i bruk av kull og olje som følge av eskalerende priser på naturgass og påfølgende kraftige prisstigninger i alle energimarkeder. </w:t>
      </w:r>
    </w:p>
    <w:p w14:paraId="0A028F83" w14:textId="1CE8170E" w:rsidR="00F358FD" w:rsidRDefault="00F358FD" w:rsidP="00A65043">
      <w:pPr>
        <w:pStyle w:val="Brdtekst"/>
        <w:jc w:val="both"/>
        <w:rPr>
          <w:rFonts w:ascii="Open Sans" w:hAnsi="Open Sans" w:cs="Open Sans"/>
          <w:sz w:val="22"/>
          <w:szCs w:val="22"/>
        </w:rPr>
      </w:pPr>
      <w:r w:rsidRPr="00F358FD">
        <w:rPr>
          <w:rFonts w:ascii="Open Sans" w:hAnsi="Open Sans" w:cs="Open Sans"/>
          <w:sz w:val="22"/>
          <w:szCs w:val="22"/>
        </w:rPr>
        <w:t xml:space="preserve">Ved nyåret var oljeprisen oppe på sitt høyeste nivå siden 2018 og fortsatte å stige jevnt fra om lag 80 til 100 dollar frem til invasjonen av Ukraina. Russland er verdens største oljeeksportør til globale markeder, men sanksjoner og markedsrespons hindrer dem å få solgt. USA har innført forbud mot import av russisk olje. I Europa innskrenket tidlig flere aktører handel med Russland og Kommisjonen varslet </w:t>
      </w:r>
      <w:r w:rsidR="00A67780" w:rsidRPr="00F358FD">
        <w:rPr>
          <w:rFonts w:ascii="Open Sans" w:hAnsi="Open Sans" w:cs="Open Sans"/>
          <w:sz w:val="22"/>
          <w:szCs w:val="22"/>
        </w:rPr>
        <w:t xml:space="preserve">onsdag 4. mai </w:t>
      </w:r>
      <w:r w:rsidR="00A67780">
        <w:rPr>
          <w:rFonts w:ascii="Open Sans" w:hAnsi="Open Sans" w:cs="Open Sans"/>
          <w:sz w:val="22"/>
          <w:szCs w:val="22"/>
        </w:rPr>
        <w:t xml:space="preserve">et </w:t>
      </w:r>
      <w:r w:rsidRPr="00F358FD">
        <w:rPr>
          <w:rFonts w:ascii="Open Sans" w:hAnsi="Open Sans" w:cs="Open Sans"/>
          <w:sz w:val="22"/>
          <w:szCs w:val="22"/>
        </w:rPr>
        <w:t>kommende EU-forbud. Utestengingen av Russland fra amerikanske og europeiske marked skaper svært stram og sårbar tilbudsside i oljemarkedet. Konflikten har ført til en voldsomme prissvingninger i mars, april og starten av mai, med prisvariasjon mellom 95 og 130 dollar per fat.</w:t>
      </w:r>
    </w:p>
    <w:p w14:paraId="38E408E4" w14:textId="27E13D64" w:rsidR="00533A0D" w:rsidRPr="00F358FD" w:rsidRDefault="00FC599B" w:rsidP="00A65043">
      <w:pPr>
        <w:pStyle w:val="Brdtekst"/>
        <w:jc w:val="both"/>
        <w:rPr>
          <w:rFonts w:ascii="Open Sans" w:hAnsi="Open Sans" w:cs="Open Sans"/>
          <w:sz w:val="22"/>
          <w:szCs w:val="22"/>
        </w:rPr>
      </w:pPr>
      <w:r w:rsidRPr="00FC599B">
        <w:rPr>
          <w:rFonts w:ascii="Open Sans" w:hAnsi="Open Sans" w:cs="Open Sans"/>
          <w:sz w:val="22"/>
          <w:szCs w:val="22"/>
        </w:rPr>
        <w:object w:dxaOrig="19553" w:dyaOrig="8470" w14:anchorId="5B8B2478">
          <v:shape id="_x0000_i1027" type="#_x0000_t75" style="width:424.6pt;height:184.1pt" o:ole="">
            <v:imagedata r:id="rId42" o:title=""/>
          </v:shape>
          <o:OLEObject Type="Embed" ProgID="Mbnd.mbnd" ShapeID="_x0000_i1027" DrawAspect="Content" ObjectID="_1713687837" r:id="rId43"/>
        </w:object>
      </w:r>
    </w:p>
    <w:p w14:paraId="1F48558E" w14:textId="3FFD69AA" w:rsidR="00F358FD" w:rsidRPr="00F358FD" w:rsidRDefault="00F358FD" w:rsidP="00A65043">
      <w:pPr>
        <w:pStyle w:val="Brdtekst"/>
        <w:jc w:val="both"/>
        <w:rPr>
          <w:rFonts w:ascii="Open Sans" w:hAnsi="Open Sans" w:cs="Open Sans"/>
          <w:sz w:val="22"/>
          <w:szCs w:val="22"/>
        </w:rPr>
      </w:pPr>
      <w:r w:rsidRPr="00F358FD">
        <w:rPr>
          <w:rFonts w:ascii="Open Sans" w:hAnsi="Open Sans" w:cs="Open Sans"/>
          <w:sz w:val="22"/>
          <w:szCs w:val="22"/>
        </w:rPr>
        <w:t>IEA og andre analysebyråer har nedjustert gjeninnhentingen i global oljeetterspørsel som følge av både økte råvarepriser og sanksjonene mot Russland. De advarer imidlertid mot ytterligere innstramming av globalt tilbud som kan drive prisene høyere. På forhånd advarte enkelte analysemiljøer om at oljeprisen kan komme opp mot 150-200 dollar fatet ved implementering av EU-forbud. Det er i alle fall svært stor usikkerhet knyttet til prisbanen fremover.</w:t>
      </w:r>
    </w:p>
    <w:p w14:paraId="65FB238A" w14:textId="3C58A38C" w:rsidR="00F358FD" w:rsidRPr="00F358FD" w:rsidRDefault="00F358FD" w:rsidP="00A65043">
      <w:pPr>
        <w:spacing w:line="259" w:lineRule="auto"/>
        <w:jc w:val="both"/>
        <w:rPr>
          <w:rFonts w:ascii="Open Sans" w:eastAsia="Open Sans" w:hAnsi="Open Sans" w:cs="Open Sans"/>
          <w:sz w:val="22"/>
        </w:rPr>
      </w:pPr>
      <w:r w:rsidRPr="00F358FD">
        <w:rPr>
          <w:rFonts w:ascii="Open Sans" w:hAnsi="Open Sans" w:cs="Open Sans"/>
          <w:sz w:val="22"/>
        </w:rPr>
        <w:t xml:space="preserve">For Norges del betyr prishoppene på olje og gass en massiv inntekstvekst til selskapene og staten. Norge hadde rekordhøyt handelsoverskudd i 2021. </w:t>
      </w:r>
      <w:r w:rsidRPr="00F358FD">
        <w:rPr>
          <w:rFonts w:ascii="Open Sans" w:eastAsia="Open Sans" w:hAnsi="Open Sans" w:cs="Open Sans"/>
          <w:sz w:val="22"/>
        </w:rPr>
        <w:t>I mars ble det ny eksportrekord for både olje og gass, og gassprisen er nå om lag dobbelt så høy som oljeprisen. Eksportverdien av råolje tilnærmet doblet seg fra 26,1 milliarder kroner i mars 2021 til rekordhøye 51,6 milliarder kroner i mars 2022. Forrige rekordverdi for en måned var 37,1 milliarder kroner i august 2008 – like før finanskrisen satte inn. Verdien av naturgasseksporten var også rekordhøy i mars og endte på 112,4 milliarder kroner, en mer enn seksdobling fra mars 2021. De ekstreme gassprisene er driveren for høye strømpriser i Europa, og kan bli enda høyere dersom russisk eksport stanser helt.</w:t>
      </w:r>
    </w:p>
    <w:p w14:paraId="6E8F506D" w14:textId="77777777" w:rsidR="00F358FD" w:rsidRPr="00F358FD" w:rsidRDefault="00F358FD" w:rsidP="00A65043">
      <w:pPr>
        <w:pStyle w:val="Brdtekst"/>
        <w:jc w:val="both"/>
        <w:rPr>
          <w:rFonts w:ascii="Open Sans" w:hAnsi="Open Sans" w:cs="Open Sans"/>
          <w:sz w:val="22"/>
          <w:szCs w:val="22"/>
        </w:rPr>
      </w:pPr>
      <w:r w:rsidRPr="00F358FD">
        <w:rPr>
          <w:rFonts w:ascii="Open Sans" w:hAnsi="Open Sans" w:cs="Open Sans"/>
          <w:sz w:val="22"/>
          <w:szCs w:val="22"/>
        </w:rPr>
        <w:t>Olje og gassprisene påvirker petroleumsinvesteringene. Sammen med skattepakken for næringen, som fordrer at det leveres utbyggingsplan (PUD) for nye utbygginger på sokkelen innen 2022, vil pris og etterspørsel bidra til å holde oppe investeringsnivået.</w:t>
      </w:r>
    </w:p>
    <w:p w14:paraId="3BE3F75D" w14:textId="77777777" w:rsidR="001B55BF" w:rsidRPr="008B4566" w:rsidRDefault="001B55BF" w:rsidP="00A65043">
      <w:pPr>
        <w:pStyle w:val="Brdtekst"/>
        <w:jc w:val="both"/>
        <w:rPr>
          <w:rFonts w:ascii="Open Sans" w:eastAsia="Open Sans" w:hAnsi="Open Sans" w:cs="Open Sans"/>
          <w:sz w:val="22"/>
          <w:szCs w:val="22"/>
          <w:lang w:eastAsia="en-US"/>
        </w:rPr>
      </w:pPr>
    </w:p>
    <w:p w14:paraId="33CFD609" w14:textId="77777777" w:rsidR="003F4B03" w:rsidRPr="00A9575F" w:rsidRDefault="003F4B03" w:rsidP="00A65043">
      <w:pPr>
        <w:jc w:val="both"/>
      </w:pPr>
    </w:p>
    <w:p w14:paraId="54DEA505" w14:textId="6D71E747" w:rsidR="00912114" w:rsidRDefault="000E1385" w:rsidP="00A65043">
      <w:pPr>
        <w:pStyle w:val="Overskrift1"/>
        <w:jc w:val="both"/>
      </w:pPr>
      <w:bookmarkStart w:id="10" w:name="_Toc103066741"/>
      <w:r>
        <w:lastRenderedPageBreak/>
        <w:t>Boligmarkedet</w:t>
      </w:r>
      <w:r w:rsidR="00FF4323">
        <w:t xml:space="preserve"> </w:t>
      </w:r>
      <w:r>
        <w:t>og husholdningenes gjeldsbelastning</w:t>
      </w:r>
      <w:bookmarkEnd w:id="10"/>
    </w:p>
    <w:p w14:paraId="69C7D549" w14:textId="61ECF11C" w:rsidR="00B1531D" w:rsidRPr="00B1531D" w:rsidRDefault="00B1531D" w:rsidP="00A65043">
      <w:pPr>
        <w:jc w:val="both"/>
        <w:rPr>
          <w:rFonts w:ascii="Open Sans" w:hAnsi="Open Sans" w:cs="Open Sans"/>
          <w:sz w:val="22"/>
        </w:rPr>
      </w:pPr>
      <w:r w:rsidRPr="00B1531D">
        <w:rPr>
          <w:rFonts w:ascii="Open Sans" w:hAnsi="Open Sans" w:cs="Open Sans"/>
          <w:sz w:val="22"/>
        </w:rPr>
        <w:t xml:space="preserve">Det er fortsatt sterk etterspørsel og prisvekst i sentrale boligmarkeder i Norge. Viktige årsaker er lave renter, </w:t>
      </w:r>
      <w:proofErr w:type="spellStart"/>
      <w:r w:rsidRPr="00B1531D">
        <w:rPr>
          <w:rFonts w:ascii="Open Sans" w:hAnsi="Open Sans" w:cs="Open Sans"/>
          <w:sz w:val="22"/>
        </w:rPr>
        <w:t>formuesvekst</w:t>
      </w:r>
      <w:proofErr w:type="spellEnd"/>
      <w:r w:rsidRPr="00B1531D">
        <w:rPr>
          <w:rFonts w:ascii="Open Sans" w:hAnsi="Open Sans" w:cs="Open Sans"/>
          <w:sz w:val="22"/>
        </w:rPr>
        <w:t xml:space="preserve"> i husholdningene, høye tomte- og </w:t>
      </w:r>
      <w:proofErr w:type="spellStart"/>
      <w:r w:rsidRPr="00B1531D">
        <w:rPr>
          <w:rFonts w:ascii="Open Sans" w:hAnsi="Open Sans" w:cs="Open Sans"/>
          <w:sz w:val="22"/>
        </w:rPr>
        <w:t>byggekostnader</w:t>
      </w:r>
      <w:proofErr w:type="spellEnd"/>
      <w:r w:rsidRPr="00B1531D">
        <w:rPr>
          <w:rFonts w:ascii="Open Sans" w:hAnsi="Open Sans" w:cs="Open Sans"/>
          <w:sz w:val="22"/>
        </w:rPr>
        <w:t xml:space="preserve">, samt etterspørsel etter eiendomsinvesteringer. Sammen med befolkningens økende ulikhet i boligformue og gjeldsgrad, skaper utviklingen i boligmarkedene utfordringer for norsk økonomi. </w:t>
      </w:r>
    </w:p>
    <w:p w14:paraId="324E5159" w14:textId="77777777" w:rsidR="00B1531D" w:rsidRPr="00B1531D" w:rsidRDefault="00B1531D" w:rsidP="00A65043">
      <w:pPr>
        <w:jc w:val="both"/>
        <w:rPr>
          <w:rFonts w:ascii="Open Sans" w:hAnsi="Open Sans" w:cs="Open Sans"/>
          <w:sz w:val="22"/>
        </w:rPr>
      </w:pPr>
      <w:r w:rsidRPr="00B1531D">
        <w:rPr>
          <w:rFonts w:ascii="Open Sans" w:hAnsi="Open Sans" w:cs="Open Sans"/>
          <w:noProof/>
          <w:sz w:val="22"/>
          <w:szCs w:val="24"/>
        </w:rPr>
        <w:drawing>
          <wp:inline distT="0" distB="0" distL="0" distR="0" wp14:anchorId="43EA1D7E" wp14:editId="3355BC79">
            <wp:extent cx="5299911" cy="2749182"/>
            <wp:effectExtent l="0" t="0" r="0" b="0"/>
            <wp:docPr id="45" name="Diagram 45">
              <a:extLst xmlns:a="http://schemas.openxmlformats.org/drawingml/2006/main">
                <a:ext uri="{FF2B5EF4-FFF2-40B4-BE49-F238E27FC236}">
                  <a16:creationId xmlns:a16="http://schemas.microsoft.com/office/drawing/2014/main" id="{A6DA2077-A10A-48C9-8A56-61263480D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939888" w14:textId="77777777" w:rsidR="00B1531D" w:rsidRPr="00B1531D" w:rsidRDefault="00B1531D" w:rsidP="00A65043">
      <w:pPr>
        <w:jc w:val="both"/>
        <w:rPr>
          <w:rFonts w:ascii="Open Sans" w:hAnsi="Open Sans" w:cs="Open Sans"/>
          <w:sz w:val="18"/>
          <w:szCs w:val="18"/>
        </w:rPr>
      </w:pPr>
      <w:r w:rsidRPr="00B1531D">
        <w:rPr>
          <w:rFonts w:ascii="Open Sans" w:hAnsi="Open Sans" w:cs="Open Sans"/>
          <w:sz w:val="18"/>
          <w:szCs w:val="18"/>
        </w:rPr>
        <w:t>Kilde: Eiendom Norge, FINN og Eiendomsverdi AS</w:t>
      </w:r>
    </w:p>
    <w:p w14:paraId="164F3AAD" w14:textId="77777777" w:rsidR="00B1531D" w:rsidRPr="00B1531D" w:rsidRDefault="00B1531D" w:rsidP="00A65043">
      <w:pPr>
        <w:jc w:val="both"/>
        <w:rPr>
          <w:rFonts w:ascii="Open Sans" w:hAnsi="Open Sans" w:cs="Open Sans"/>
          <w:b/>
          <w:bCs/>
          <w:sz w:val="22"/>
        </w:rPr>
      </w:pPr>
    </w:p>
    <w:p w14:paraId="3536CFF4" w14:textId="60424295" w:rsidR="00B1531D" w:rsidRPr="00B1531D" w:rsidRDefault="00B1531D" w:rsidP="00A65043">
      <w:pPr>
        <w:pStyle w:val="Overskrift2"/>
        <w:jc w:val="both"/>
        <w:rPr>
          <w:sz w:val="22"/>
          <w:szCs w:val="28"/>
        </w:rPr>
      </w:pPr>
      <w:bookmarkStart w:id="11" w:name="_Toc103066742"/>
      <w:r w:rsidRPr="00B1531D">
        <w:rPr>
          <w:sz w:val="22"/>
          <w:szCs w:val="28"/>
        </w:rPr>
        <w:t>Boligpriser</w:t>
      </w:r>
      <w:bookmarkEnd w:id="11"/>
    </w:p>
    <w:p w14:paraId="50CE80C4" w14:textId="03CA19BA" w:rsidR="00B1531D" w:rsidRPr="00B1531D" w:rsidRDefault="00B1531D" w:rsidP="00A65043">
      <w:pPr>
        <w:jc w:val="both"/>
        <w:rPr>
          <w:rFonts w:ascii="Open Sans" w:hAnsi="Open Sans" w:cs="Open Sans"/>
          <w:sz w:val="22"/>
        </w:rPr>
      </w:pPr>
      <w:r w:rsidRPr="00B1531D">
        <w:rPr>
          <w:rFonts w:ascii="Open Sans" w:hAnsi="Open Sans" w:cs="Open Sans"/>
          <w:sz w:val="22"/>
        </w:rPr>
        <w:t xml:space="preserve">Analysemiljøenes forventninger om at boligmarkedene ville roe seg ved gjenåpning av samfunnet har ikke vist seg å stemme. I første kvartal 2022 ble det satt prisvekstrekord med en oppgang på landsbasis på 7.6 pst (Eiendom Norge). De siste to årene, fra mars 2020 til mars 2022, viser transaksjonsdata en prisvekst på om lag 20 pst. Den sist oppdaterte «Boble-indeksen», estimert av økonomer ved </w:t>
      </w:r>
      <w:proofErr w:type="spellStart"/>
      <w:r w:rsidRPr="00B1531D">
        <w:rPr>
          <w:rFonts w:ascii="Open Sans" w:hAnsi="Open Sans" w:cs="Open Sans"/>
          <w:sz w:val="22"/>
        </w:rPr>
        <w:t>OsloMet</w:t>
      </w:r>
      <w:proofErr w:type="spellEnd"/>
      <w:r w:rsidRPr="00B1531D">
        <w:rPr>
          <w:rFonts w:ascii="Open Sans" w:hAnsi="Open Sans" w:cs="Open Sans"/>
          <w:sz w:val="22"/>
        </w:rPr>
        <w:t xml:space="preserve"> (</w:t>
      </w:r>
      <w:proofErr w:type="spellStart"/>
      <w:r w:rsidRPr="00B1531D">
        <w:rPr>
          <w:rFonts w:ascii="Open Sans" w:hAnsi="Open Sans" w:cs="Open Sans"/>
          <w:sz w:val="22"/>
        </w:rPr>
        <w:t>HousingLab</w:t>
      </w:r>
      <w:proofErr w:type="spellEnd"/>
      <w:r w:rsidRPr="00B1531D">
        <w:rPr>
          <w:rFonts w:ascii="Open Sans" w:hAnsi="Open Sans" w:cs="Open Sans"/>
          <w:sz w:val="22"/>
        </w:rPr>
        <w:t>), estimerer en overprising i norske boligmarkedet på om lag 25 pst. (des. 2021) gitt fundamentale økonomiske forhold. Per april 2022 tror bredden av analysemiljøene på en demping i etterspørselen når styringsrenten settes opp. Renteeffekten kan imidlertid bli motvirket av lønnsvekst</w:t>
      </w:r>
      <w:r w:rsidR="009F37FD">
        <w:rPr>
          <w:rFonts w:ascii="Open Sans" w:hAnsi="Open Sans" w:cs="Open Sans"/>
          <w:sz w:val="22"/>
        </w:rPr>
        <w:t>en</w:t>
      </w:r>
      <w:r w:rsidRPr="00B1531D">
        <w:rPr>
          <w:rFonts w:ascii="Open Sans" w:hAnsi="Open Sans" w:cs="Open Sans"/>
          <w:sz w:val="22"/>
        </w:rPr>
        <w:t>. Videre er det utfordringer med tilgang på byggematerialer og arbeidskraft som fordyrer, innskrenker og forsinker tilbud av nye boliger ved at utbyggere avventer. Dette vil kunne holde prisveksten fortsatt høy.</w:t>
      </w:r>
    </w:p>
    <w:p w14:paraId="27047599" w14:textId="56304877" w:rsidR="00B1531D" w:rsidRPr="00B1531D" w:rsidRDefault="00B1531D" w:rsidP="00A65043">
      <w:pPr>
        <w:pStyle w:val="Overskrift2"/>
        <w:jc w:val="both"/>
        <w:rPr>
          <w:sz w:val="22"/>
          <w:szCs w:val="28"/>
        </w:rPr>
      </w:pPr>
      <w:bookmarkStart w:id="12" w:name="_Toc103066743"/>
      <w:r w:rsidRPr="00B1531D">
        <w:rPr>
          <w:sz w:val="22"/>
          <w:szCs w:val="28"/>
        </w:rPr>
        <w:lastRenderedPageBreak/>
        <w:t>Husholdningenes gjeldsbelastning</w:t>
      </w:r>
      <w:bookmarkEnd w:id="12"/>
    </w:p>
    <w:p w14:paraId="7A37EFA7" w14:textId="18EAF037" w:rsidR="00B1531D" w:rsidRDefault="00EA42C4" w:rsidP="00A65043">
      <w:pPr>
        <w:jc w:val="both"/>
        <w:rPr>
          <w:rFonts w:ascii="Open Sans" w:hAnsi="Open Sans" w:cs="Open Sans"/>
          <w:sz w:val="22"/>
        </w:rPr>
      </w:pPr>
      <w:r>
        <w:rPr>
          <w:rFonts w:ascii="Open Sans" w:hAnsi="Open Sans" w:cs="Open Sans"/>
          <w:noProof/>
          <w:sz w:val="22"/>
        </w:rPr>
        <w:drawing>
          <wp:anchor distT="0" distB="0" distL="114300" distR="114300" simplePos="0" relativeHeight="251658243" behindDoc="1" locked="0" layoutInCell="1" allowOverlap="1" wp14:anchorId="6C8EAEE5" wp14:editId="56E0967A">
            <wp:simplePos x="0" y="0"/>
            <wp:positionH relativeFrom="column">
              <wp:posOffset>2931795</wp:posOffset>
            </wp:positionH>
            <wp:positionV relativeFrom="paragraph">
              <wp:posOffset>2048510</wp:posOffset>
            </wp:positionV>
            <wp:extent cx="3342640" cy="2848610"/>
            <wp:effectExtent l="0" t="0" r="0" b="8890"/>
            <wp:wrapTight wrapText="bothSides">
              <wp:wrapPolygon edited="0">
                <wp:start x="0" y="0"/>
                <wp:lineTo x="0" y="21523"/>
                <wp:lineTo x="21419" y="21523"/>
                <wp:lineTo x="21419" y="0"/>
                <wp:lineTo x="0" y="0"/>
              </wp:wrapPolygon>
            </wp:wrapTight>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rFonts w:ascii="Open Sans" w:hAnsi="Open Sans" w:cs="Open Sans"/>
          <w:noProof/>
          <w:sz w:val="22"/>
        </w:rPr>
        <w:drawing>
          <wp:anchor distT="0" distB="0" distL="114300" distR="114300" simplePos="0" relativeHeight="251658242" behindDoc="1" locked="0" layoutInCell="1" allowOverlap="1" wp14:anchorId="2863EFF1" wp14:editId="28F5547B">
            <wp:simplePos x="0" y="0"/>
            <wp:positionH relativeFrom="margin">
              <wp:posOffset>-746760</wp:posOffset>
            </wp:positionH>
            <wp:positionV relativeFrom="paragraph">
              <wp:posOffset>2031365</wp:posOffset>
            </wp:positionV>
            <wp:extent cx="3526790" cy="3070225"/>
            <wp:effectExtent l="0" t="0" r="0" b="0"/>
            <wp:wrapTight wrapText="bothSides">
              <wp:wrapPolygon edited="0">
                <wp:start x="0" y="0"/>
                <wp:lineTo x="0" y="21444"/>
                <wp:lineTo x="21468" y="21444"/>
                <wp:lineTo x="21468" y="0"/>
                <wp:lineTo x="0" y="0"/>
              </wp:wrapPolygon>
            </wp:wrapTight>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1531D" w:rsidRPr="00B1531D">
        <w:rPr>
          <w:rFonts w:ascii="Open Sans" w:hAnsi="Open Sans" w:cs="Open Sans"/>
          <w:sz w:val="22"/>
        </w:rPr>
        <w:t>Høye boligpriser har medført svært høy gjeld i norske husholdninger. Fra allerede høye nivåer steg gjeldsgraden betydelig gjennom pandemien</w:t>
      </w:r>
      <w:r w:rsidR="001C70AC">
        <w:rPr>
          <w:rFonts w:ascii="Open Sans" w:hAnsi="Open Sans" w:cs="Open Sans"/>
          <w:sz w:val="22"/>
        </w:rPr>
        <w:t>,</w:t>
      </w:r>
      <w:r w:rsidR="00B1531D" w:rsidRPr="00B1531D">
        <w:rPr>
          <w:rFonts w:ascii="Open Sans" w:hAnsi="Open Sans" w:cs="Open Sans"/>
          <w:sz w:val="22"/>
        </w:rPr>
        <w:t xml:space="preserve"> til tross for økt sparing</w:t>
      </w:r>
      <w:r w:rsidR="001C70AC">
        <w:rPr>
          <w:rFonts w:ascii="Open Sans" w:hAnsi="Open Sans" w:cs="Open Sans"/>
          <w:sz w:val="22"/>
        </w:rPr>
        <w:t>,</w:t>
      </w:r>
      <w:r w:rsidR="00B1531D" w:rsidRPr="00B1531D">
        <w:rPr>
          <w:rFonts w:ascii="Open Sans" w:hAnsi="Open Sans" w:cs="Open Sans"/>
          <w:sz w:val="22"/>
        </w:rPr>
        <w:t xml:space="preserve"> og er nå historisk høy – også ved sammenligning med andre land. Husholdninger med høy gjeldsgrad i forhold til inntekt og boligverdi har økt markant de siste årene. I 2021 økte den gjennomsnittlige gjeldsgraden</w:t>
      </w:r>
      <w:r w:rsidR="00B1531D" w:rsidRPr="00B1531D">
        <w:rPr>
          <w:rStyle w:val="Fotnotereferanse"/>
          <w:rFonts w:ascii="Open Sans" w:hAnsi="Open Sans" w:cs="Open Sans"/>
          <w:sz w:val="22"/>
        </w:rPr>
        <w:footnoteReference w:id="24"/>
      </w:r>
      <w:r w:rsidR="00B1531D" w:rsidRPr="00B1531D">
        <w:rPr>
          <w:rFonts w:ascii="Open Sans" w:hAnsi="Open Sans" w:cs="Open Sans"/>
          <w:sz w:val="22"/>
        </w:rPr>
        <w:t xml:space="preserve"> hos låntakere som tok opp nye boliglån med 10 pst. gjennom 2021 - opp til 353 pst. (30 pst. høyere enn 2016). Andelen lån gitt til låntakere med gjeldsgrad over 400 pst. har økt og utgjorde nesten halvparten av verdien av samlede utlån i 2021. Disse husholdningene er særlig sårbare for inntektsbortfall, økte rentekostnader og boligprisfall. </w:t>
      </w:r>
    </w:p>
    <w:p w14:paraId="49B4E415" w14:textId="3237F567" w:rsidR="004A09B8" w:rsidRDefault="004A09B8" w:rsidP="00A65043">
      <w:pPr>
        <w:jc w:val="both"/>
        <w:rPr>
          <w:rFonts w:ascii="Open Sans" w:hAnsi="Open Sans" w:cs="Open Sans"/>
          <w:sz w:val="22"/>
        </w:rPr>
      </w:pPr>
    </w:p>
    <w:p w14:paraId="517460D2" w14:textId="51B7749F" w:rsidR="000866B4" w:rsidRPr="00EA42C4" w:rsidRDefault="000866B4" w:rsidP="00A65043">
      <w:pPr>
        <w:jc w:val="both"/>
        <w:rPr>
          <w:rFonts w:ascii="Open Sans" w:hAnsi="Open Sans" w:cs="Open Sans"/>
          <w:szCs w:val="20"/>
        </w:rPr>
      </w:pPr>
      <w:r w:rsidRPr="00EA42C4">
        <w:rPr>
          <w:rFonts w:ascii="Open Sans" w:hAnsi="Open Sans" w:cs="Open Sans"/>
          <w:szCs w:val="20"/>
        </w:rPr>
        <w:t xml:space="preserve">Kilde: </w:t>
      </w:r>
      <w:r w:rsidR="009714D5" w:rsidRPr="00EA42C4">
        <w:rPr>
          <w:rFonts w:ascii="Open Sans" w:hAnsi="Open Sans" w:cs="Open Sans"/>
          <w:szCs w:val="20"/>
        </w:rPr>
        <w:t>SSB og Finanstilsynet</w:t>
      </w:r>
    </w:p>
    <w:p w14:paraId="4EF1DE37" w14:textId="15D765E5" w:rsidR="00B1531D" w:rsidRDefault="00B1531D" w:rsidP="00A65043">
      <w:pPr>
        <w:pStyle w:val="Overskrift2"/>
        <w:jc w:val="both"/>
      </w:pPr>
      <w:bookmarkStart w:id="13" w:name="_Toc103066744"/>
      <w:r w:rsidRPr="00B1531D">
        <w:t>Økte boligutgifter</w:t>
      </w:r>
      <w:bookmarkEnd w:id="13"/>
    </w:p>
    <w:p w14:paraId="661C7466" w14:textId="77777777" w:rsidR="004A5361" w:rsidRDefault="00B1531D" w:rsidP="00EA42C4">
      <w:pPr>
        <w:jc w:val="both"/>
        <w:rPr>
          <w:rFonts w:ascii="Open Sans" w:hAnsi="Open Sans" w:cs="Open Sans"/>
          <w:sz w:val="22"/>
        </w:rPr>
      </w:pPr>
      <w:r w:rsidRPr="00B1531D">
        <w:rPr>
          <w:rFonts w:ascii="Open Sans" w:hAnsi="Open Sans" w:cs="Open Sans"/>
          <w:sz w:val="22"/>
        </w:rPr>
        <w:t>I dag ligger gjengs boliglånsrente rundt to p</w:t>
      </w:r>
      <w:r w:rsidR="007448C8">
        <w:rPr>
          <w:rFonts w:ascii="Open Sans" w:hAnsi="Open Sans" w:cs="Open Sans"/>
          <w:sz w:val="22"/>
        </w:rPr>
        <w:t>st</w:t>
      </w:r>
      <w:r w:rsidRPr="00B1531D">
        <w:rPr>
          <w:rFonts w:ascii="Open Sans" w:hAnsi="Open Sans" w:cs="Open Sans"/>
          <w:sz w:val="22"/>
        </w:rPr>
        <w:t>. Ved rentebeslutning</w:t>
      </w:r>
      <w:r w:rsidR="00A91683">
        <w:rPr>
          <w:rFonts w:ascii="Open Sans" w:hAnsi="Open Sans" w:cs="Open Sans"/>
          <w:sz w:val="22"/>
        </w:rPr>
        <w:t>en</w:t>
      </w:r>
      <w:r w:rsidRPr="00B1531D">
        <w:rPr>
          <w:rFonts w:ascii="Open Sans" w:hAnsi="Open Sans" w:cs="Open Sans"/>
          <w:sz w:val="22"/>
        </w:rPr>
        <w:t xml:space="preserve"> i mars anslo Norges Bank at boliglånsrenten vil passere tre p</w:t>
      </w:r>
      <w:r w:rsidR="007448C8">
        <w:rPr>
          <w:rFonts w:ascii="Open Sans" w:hAnsi="Open Sans" w:cs="Open Sans"/>
          <w:sz w:val="22"/>
        </w:rPr>
        <w:t>st.</w:t>
      </w:r>
      <w:r w:rsidRPr="00B1531D">
        <w:rPr>
          <w:rFonts w:ascii="Open Sans" w:hAnsi="Open Sans" w:cs="Open Sans"/>
          <w:sz w:val="22"/>
        </w:rPr>
        <w:t xml:space="preserve"> neste år og stige videre til fire. Rentestigning på 1 pst. i 2022 vil slå ut i økte bokostnader. For et annuitetslån</w:t>
      </w:r>
      <w:r w:rsidRPr="00B1531D">
        <w:rPr>
          <w:rStyle w:val="Fotnotereferanse"/>
          <w:rFonts w:ascii="Open Sans" w:hAnsi="Open Sans" w:cs="Open Sans"/>
          <w:sz w:val="22"/>
        </w:rPr>
        <w:footnoteReference w:id="25"/>
      </w:r>
      <w:r w:rsidRPr="00B1531D">
        <w:rPr>
          <w:rFonts w:ascii="Open Sans" w:hAnsi="Open Sans" w:cs="Open Sans"/>
          <w:sz w:val="22"/>
        </w:rPr>
        <w:t xml:space="preserve"> på fire millioner, med 20 års nedbetalingstid, vil en renteendring fra 2 til 3 pst. innebære en økt årlig kostnad på om lag 15.000 kr i året etter skattefradrag. Endring fra 2 til 4 pst. innebærer ekstra renteutgifter på om lag 30.000 kr. Samfunnsøkonomisk analyse har i en prognose estimert at bokostnader, som inkluderer renter, eiendomsskatt, forsikring, kommunale avgifter og energikostnader, vil kunne forventes å stige med opp mot 40 pst. for en vanlig familie frem mot 2024. Fordi gjeld og boligformue nå er svært skjevfordelt i befolkningen vil man også kunne </w:t>
      </w:r>
      <w:r w:rsidRPr="00B1531D">
        <w:rPr>
          <w:rFonts w:ascii="Open Sans" w:hAnsi="Open Sans" w:cs="Open Sans"/>
          <w:sz w:val="22"/>
        </w:rPr>
        <w:lastRenderedPageBreak/>
        <w:t>forvente svært ulike utfall av rente og prisstigning. Belastningen vil være tyngst for låntakere med høyest gjeldsgrad. Dette er typisk de som har kommet sist inn på boligmarkedet, en gruppe ofte referert til som «førstegangsetablerere».</w:t>
      </w:r>
    </w:p>
    <w:p w14:paraId="5D573AE0" w14:textId="77777777" w:rsidR="004A5361" w:rsidRDefault="004A5361">
      <w:pPr>
        <w:spacing w:after="160" w:line="259" w:lineRule="auto"/>
        <w:rPr>
          <w:rFonts w:ascii="Open Sans" w:hAnsi="Open Sans" w:cs="Open Sans"/>
          <w:sz w:val="22"/>
        </w:rPr>
      </w:pPr>
      <w:r>
        <w:rPr>
          <w:rFonts w:ascii="Open Sans" w:hAnsi="Open Sans" w:cs="Open Sans"/>
          <w:sz w:val="22"/>
        </w:rPr>
        <w:br w:type="page"/>
      </w:r>
    </w:p>
    <w:p w14:paraId="23C63B2B" w14:textId="6CAA53A1" w:rsidR="00D02BF5" w:rsidRPr="00EA42C4" w:rsidRDefault="00B1531D" w:rsidP="00EA42C4">
      <w:pPr>
        <w:jc w:val="both"/>
        <w:rPr>
          <w:sz w:val="22"/>
          <w:szCs w:val="24"/>
        </w:rPr>
      </w:pPr>
      <w:r w:rsidRPr="00B1531D">
        <w:rPr>
          <w:rFonts w:ascii="Open Sans" w:hAnsi="Open Sans" w:cs="Open Sans"/>
          <w:sz w:val="22"/>
        </w:rPr>
        <w:lastRenderedPageBreak/>
        <w:t xml:space="preserve">  </w:t>
      </w:r>
    </w:p>
    <w:p w14:paraId="3F3A634C" w14:textId="77777777" w:rsidR="00D02BF5" w:rsidRPr="00D02BF5" w:rsidRDefault="00D02BF5" w:rsidP="00D02BF5"/>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A65043" w14:paraId="15D0B79F" w14:textId="77777777" w:rsidTr="003462C2">
        <w:trPr>
          <w:trHeight w:hRule="exact" w:val="567"/>
        </w:trPr>
        <w:tc>
          <w:tcPr>
            <w:tcW w:w="8494" w:type="dxa"/>
            <w:tcMar>
              <w:bottom w:w="170" w:type="dxa"/>
            </w:tcMar>
            <w:vAlign w:val="bottom"/>
          </w:tcPr>
          <w:p w14:paraId="43FE8212" w14:textId="77777777" w:rsidR="00A65043" w:rsidRDefault="00A65043" w:rsidP="003462C2">
            <w:pPr>
              <w:contextualSpacing/>
              <w:jc w:val="center"/>
            </w:pPr>
            <w:r>
              <w:rPr>
                <w:noProof/>
              </w:rPr>
              <w:drawing>
                <wp:inline distT="0" distB="0" distL="0" distR="0" wp14:anchorId="2501D489" wp14:editId="524355B9">
                  <wp:extent cx="1981200" cy="352425"/>
                  <wp:effectExtent l="0" t="0" r="0" b="952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1981200" cy="352425"/>
                          </a:xfrm>
                          <a:prstGeom prst="rect">
                            <a:avLst/>
                          </a:prstGeom>
                        </pic:spPr>
                      </pic:pic>
                    </a:graphicData>
                  </a:graphic>
                </wp:inline>
              </w:drawing>
            </w:r>
          </w:p>
        </w:tc>
      </w:tr>
      <w:tr w:rsidR="00A65043" w14:paraId="6A71A633" w14:textId="77777777" w:rsidTr="003462C2">
        <w:tc>
          <w:tcPr>
            <w:tcW w:w="8494" w:type="dxa"/>
            <w:vAlign w:val="bottom"/>
          </w:tcPr>
          <w:p w14:paraId="03210264" w14:textId="77777777" w:rsidR="00A65043" w:rsidRDefault="00A65043" w:rsidP="003462C2">
            <w:pPr>
              <w:contextualSpacing/>
              <w:jc w:val="center"/>
            </w:pPr>
            <w:r>
              <w:t>Landsorganisasjonen i Norge</w:t>
            </w:r>
          </w:p>
          <w:p w14:paraId="24656F93" w14:textId="77777777" w:rsidR="00A65043" w:rsidRDefault="00A65043" w:rsidP="003462C2">
            <w:pPr>
              <w:contextualSpacing/>
              <w:jc w:val="center"/>
            </w:pPr>
            <w:r>
              <w:t>Torggata 12, 0181 Oslo</w:t>
            </w:r>
          </w:p>
          <w:p w14:paraId="62762B8D" w14:textId="77777777" w:rsidR="00A65043" w:rsidRDefault="00BA5436" w:rsidP="003462C2">
            <w:pPr>
              <w:contextualSpacing/>
              <w:jc w:val="center"/>
            </w:pPr>
            <w:hyperlink r:id="rId49" w:history="1">
              <w:r w:rsidR="00A65043" w:rsidRPr="00A84BA4">
                <w:rPr>
                  <w:rStyle w:val="Hyperkobling"/>
                </w:rPr>
                <w:t>www.lo.no</w:t>
              </w:r>
            </w:hyperlink>
          </w:p>
        </w:tc>
      </w:tr>
    </w:tbl>
    <w:p w14:paraId="25F4F377" w14:textId="77777777" w:rsidR="00D02BF5" w:rsidRPr="00D02BF5" w:rsidRDefault="00D02BF5" w:rsidP="00A65043">
      <w:pPr>
        <w:spacing w:after="160" w:line="259" w:lineRule="auto"/>
      </w:pPr>
    </w:p>
    <w:sectPr w:rsidR="00D02BF5" w:rsidRPr="00D02BF5" w:rsidSect="00D800CF">
      <w:footerReference w:type="default" r:id="rId50"/>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70D59" w14:textId="77777777" w:rsidR="00BA5436" w:rsidRDefault="00BA5436" w:rsidP="00C673A9">
      <w:pPr>
        <w:spacing w:after="0" w:line="240" w:lineRule="auto"/>
      </w:pPr>
      <w:r>
        <w:separator/>
      </w:r>
    </w:p>
  </w:endnote>
  <w:endnote w:type="continuationSeparator" w:id="0">
    <w:p w14:paraId="7A9ADACF" w14:textId="77777777" w:rsidR="00BA5436" w:rsidRDefault="00BA5436" w:rsidP="00C673A9">
      <w:pPr>
        <w:spacing w:after="0" w:line="240" w:lineRule="auto"/>
      </w:pPr>
      <w:r>
        <w:continuationSeparator/>
      </w:r>
    </w:p>
  </w:endnote>
  <w:endnote w:type="continuationNotice" w:id="1">
    <w:p w14:paraId="3FDDB67A" w14:textId="77777777" w:rsidR="00BA5436" w:rsidRDefault="00BA54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embedRegular r:id="rId1" w:fontKey="{5EF2B336-CE4D-456B-BC5C-543780D314EA}"/>
    <w:embedBold r:id="rId2" w:fontKey="{BD9799C8-042D-4EF9-9727-00EDD869E887}"/>
    <w:embedItalic r:id="rId3" w:fontKey="{066D37E3-44A7-4847-9F2F-083EEE256EA3}"/>
    <w:embedBoldItalic r:id="rId4" w:fontKey="{A793EFF3-19C9-4C39-9388-8561A622BD8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5" w:fontKey="{DF8710C6-3EF9-49B4-84E3-2FEFCD63107B}"/>
    <w:embedBold r:id="rId6" w:fontKey="{05912D99-2139-445B-B2DC-0FAF2348AF2A}"/>
    <w:embedItalic r:id="rId7" w:fontKey="{6BB8C242-662B-4FEF-BB9D-22CA8E3F7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EA40" w14:textId="39849F54" w:rsidR="00535D93" w:rsidRDefault="00BA5436">
    <w:pPr>
      <w:pStyle w:val="Bunntekst"/>
    </w:pPr>
    <w:sdt>
      <w:sdtPr>
        <w:alias w:val="Bunntekst"/>
        <w:tag w:val="Bunntekst"/>
        <w:id w:val="-2071877979"/>
        <w:placeholder>
          <w:docPart w:val="FF768861DBDC448AB22078210413DBA1"/>
        </w:placeholder>
        <w:dataBinding w:xpath="/root[1]/Bunntekst[1]" w:storeItemID="{63A34530-F6D5-4DA7-86C0-3EA00FDDB671}"/>
        <w:text/>
      </w:sdtPr>
      <w:sdtEndPr/>
      <w:sdtContent>
        <w:r w:rsidR="00500041">
          <w:t>Konjunkturutsiktene</w:t>
        </w:r>
      </w:sdtContent>
    </w:sdt>
    <w:r w:rsidR="00535D93">
      <w:t xml:space="preserve">  |  </w:t>
    </w:r>
    <w:r w:rsidR="00535D93" w:rsidRPr="00535D93">
      <w:rPr>
        <w:b/>
        <w:bCs/>
        <w:color w:val="auto"/>
      </w:rPr>
      <w:fldChar w:fldCharType="begin"/>
    </w:r>
    <w:r w:rsidR="00535D93" w:rsidRPr="00535D93">
      <w:rPr>
        <w:b/>
        <w:bCs/>
        <w:color w:val="auto"/>
      </w:rPr>
      <w:instrText xml:space="preserve"> PAGE   \* MERGEFORMAT </w:instrText>
    </w:r>
    <w:r w:rsidR="00535D93" w:rsidRPr="00535D93">
      <w:rPr>
        <w:b/>
        <w:bCs/>
        <w:color w:val="auto"/>
      </w:rPr>
      <w:fldChar w:fldCharType="separate"/>
    </w:r>
    <w:r w:rsidR="00535D93" w:rsidRPr="00535D93">
      <w:rPr>
        <w:b/>
        <w:bCs/>
        <w:noProof/>
        <w:color w:val="auto"/>
      </w:rPr>
      <w:t>3</w:t>
    </w:r>
    <w:r w:rsidR="00535D93" w:rsidRPr="00535D93">
      <w:rPr>
        <w:b/>
        <w:bCs/>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2F41" w14:textId="61A32F84" w:rsidR="00A5273A" w:rsidRDefault="00BA5436" w:rsidP="00A5273A">
    <w:pPr>
      <w:pStyle w:val="Bunntekst"/>
    </w:pPr>
    <w:sdt>
      <w:sdtPr>
        <w:alias w:val="Bunntekst"/>
        <w:tag w:val="Bunntekst"/>
        <w:id w:val="-459645243"/>
        <w:placeholder>
          <w:docPart w:val="8151E73BAEA74DA5841FC160DDE5D8BF"/>
        </w:placeholder>
        <w:dataBinding w:xpath="/root[1]/Bunntekst[1]" w:storeItemID="{63A34530-F6D5-4DA7-86C0-3EA00FDDB671}"/>
        <w:text/>
      </w:sdtPr>
      <w:sdtEndPr/>
      <w:sdtContent>
        <w:r w:rsidR="00A5273A">
          <w:t>Konjunkturutsiktene</w:t>
        </w:r>
      </w:sdtContent>
    </w:sdt>
    <w:r w:rsidR="00A5273A">
      <w:t xml:space="preserve">  |  </w:t>
    </w:r>
    <w:r w:rsidR="00A5273A" w:rsidRPr="00535D93">
      <w:rPr>
        <w:b/>
        <w:bCs/>
        <w:color w:val="auto"/>
      </w:rPr>
      <w:fldChar w:fldCharType="begin"/>
    </w:r>
    <w:r w:rsidR="00A5273A" w:rsidRPr="00535D93">
      <w:rPr>
        <w:b/>
        <w:bCs/>
        <w:color w:val="auto"/>
      </w:rPr>
      <w:instrText xml:space="preserve"> PAGE   \* MERGEFORMAT </w:instrText>
    </w:r>
    <w:r w:rsidR="00A5273A" w:rsidRPr="00535D93">
      <w:rPr>
        <w:b/>
        <w:bCs/>
        <w:color w:val="auto"/>
      </w:rPr>
      <w:fldChar w:fldCharType="separate"/>
    </w:r>
    <w:r w:rsidR="00A5273A">
      <w:rPr>
        <w:b/>
        <w:bCs/>
        <w:color w:val="auto"/>
      </w:rPr>
      <w:t>16</w:t>
    </w:r>
    <w:r w:rsidR="00A5273A" w:rsidRPr="00535D93">
      <w:rPr>
        <w:b/>
        <w:bCs/>
        <w:color w:val="auto"/>
      </w:rPr>
      <w:fldChar w:fldCharType="end"/>
    </w:r>
  </w:p>
  <w:p w14:paraId="3F48DF4C" w14:textId="77777777" w:rsidR="00D800CF" w:rsidRDefault="00D800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CA43F" w14:textId="77777777" w:rsidR="00BA5436" w:rsidRDefault="00BA5436" w:rsidP="00C673A9">
      <w:pPr>
        <w:spacing w:after="0" w:line="240" w:lineRule="auto"/>
      </w:pPr>
      <w:r>
        <w:separator/>
      </w:r>
    </w:p>
  </w:footnote>
  <w:footnote w:type="continuationSeparator" w:id="0">
    <w:p w14:paraId="73CEA81C" w14:textId="77777777" w:rsidR="00BA5436" w:rsidRDefault="00BA5436" w:rsidP="00C673A9">
      <w:pPr>
        <w:spacing w:after="0" w:line="240" w:lineRule="auto"/>
      </w:pPr>
      <w:r>
        <w:continuationSeparator/>
      </w:r>
    </w:p>
  </w:footnote>
  <w:footnote w:type="continuationNotice" w:id="1">
    <w:p w14:paraId="51BD6CE7" w14:textId="77777777" w:rsidR="00BA5436" w:rsidRDefault="00BA5436">
      <w:pPr>
        <w:spacing w:after="0" w:line="240" w:lineRule="auto"/>
      </w:pPr>
    </w:p>
  </w:footnote>
  <w:footnote w:id="2">
    <w:p w14:paraId="6F5FB7C4" w14:textId="77777777" w:rsidR="00E50093" w:rsidRPr="002E0C2B" w:rsidRDefault="00E50093" w:rsidP="00E50093">
      <w:pPr>
        <w:pStyle w:val="Fotnotetekst"/>
        <w:rPr>
          <w:rFonts w:ascii="Open Sans" w:hAnsi="Open Sans" w:cs="Open Sans"/>
          <w:sz w:val="18"/>
          <w:szCs w:val="18"/>
        </w:rPr>
      </w:pPr>
      <w:r w:rsidRPr="002E0C2B">
        <w:rPr>
          <w:rStyle w:val="Fotnotereferanse"/>
          <w:rFonts w:ascii="Open Sans" w:hAnsi="Open Sans" w:cs="Open Sans"/>
          <w:sz w:val="18"/>
          <w:szCs w:val="18"/>
        </w:rPr>
        <w:footnoteRef/>
      </w:r>
      <w:r w:rsidRPr="002E0C2B">
        <w:rPr>
          <w:rFonts w:ascii="Open Sans" w:hAnsi="Open Sans" w:cs="Open Sans"/>
          <w:sz w:val="18"/>
          <w:szCs w:val="18"/>
        </w:rPr>
        <w:t xml:space="preserve"> Arbeidssøkere utgjør alle helt arbeidsløse, delvis arbeidsløse og arbeidssøkere på tiltak.</w:t>
      </w:r>
    </w:p>
  </w:footnote>
  <w:footnote w:id="3">
    <w:p w14:paraId="4619C760" w14:textId="77777777" w:rsidR="00E50093" w:rsidRDefault="00E50093" w:rsidP="00E50093">
      <w:pPr>
        <w:pStyle w:val="Fotnotetekst"/>
      </w:pPr>
      <w:r>
        <w:rPr>
          <w:rStyle w:val="Fotnotereferanse"/>
        </w:rPr>
        <w:footnoteRef/>
      </w:r>
      <w:r>
        <w:t xml:space="preserve"> </w:t>
      </w:r>
      <w:r w:rsidRPr="002E0C2B">
        <w:rPr>
          <w:rFonts w:ascii="Open Sans" w:hAnsi="Open Sans" w:cs="Open Sans"/>
          <w:sz w:val="18"/>
          <w:szCs w:val="18"/>
        </w:rPr>
        <w:t>Langtidsarbeidssøkere er personer med varighet som arbeidssøker over 6 måneder.</w:t>
      </w:r>
    </w:p>
  </w:footnote>
  <w:footnote w:id="4">
    <w:p w14:paraId="0318B8E1" w14:textId="77777777" w:rsidR="00723672" w:rsidRPr="00FD2883" w:rsidRDefault="00723672" w:rsidP="00723672">
      <w:pPr>
        <w:pStyle w:val="Fotnotetekst"/>
        <w:rPr>
          <w:rFonts w:asciiTheme="majorHAnsi" w:hAnsiTheme="majorHAnsi" w:cstheme="majorHAnsi"/>
          <w:sz w:val="18"/>
          <w:szCs w:val="18"/>
        </w:rPr>
      </w:pPr>
      <w:r w:rsidRPr="00FD2883">
        <w:rPr>
          <w:rStyle w:val="Fotnotereferanse"/>
          <w:rFonts w:asciiTheme="majorHAnsi" w:hAnsiTheme="majorHAnsi" w:cstheme="majorHAnsi"/>
          <w:sz w:val="18"/>
          <w:szCs w:val="18"/>
        </w:rPr>
        <w:footnoteRef/>
      </w:r>
      <w:r w:rsidRPr="00FD2883">
        <w:rPr>
          <w:rFonts w:asciiTheme="majorHAnsi" w:hAnsiTheme="majorHAnsi" w:cstheme="majorHAnsi"/>
          <w:sz w:val="18"/>
          <w:szCs w:val="18"/>
        </w:rPr>
        <w:t xml:space="preserve"> Helt arbeidsløse som andel av arbeidsstyrken (sysselsatte og arbeidsløse). </w:t>
      </w:r>
    </w:p>
  </w:footnote>
  <w:footnote w:id="5">
    <w:p w14:paraId="66793919" w14:textId="77777777" w:rsidR="00723672" w:rsidRPr="00FD2883" w:rsidRDefault="00723672" w:rsidP="00723672">
      <w:pPr>
        <w:pStyle w:val="Fotnotetekst"/>
        <w:rPr>
          <w:rFonts w:asciiTheme="majorHAnsi" w:hAnsiTheme="majorHAnsi" w:cstheme="majorHAnsi"/>
          <w:sz w:val="18"/>
          <w:szCs w:val="18"/>
        </w:rPr>
      </w:pPr>
      <w:r w:rsidRPr="00FD2883">
        <w:rPr>
          <w:rStyle w:val="Fotnotereferanse"/>
          <w:rFonts w:asciiTheme="majorHAnsi" w:hAnsiTheme="majorHAnsi" w:cstheme="majorHAnsi"/>
          <w:sz w:val="18"/>
          <w:szCs w:val="18"/>
        </w:rPr>
        <w:footnoteRef/>
      </w:r>
      <w:r w:rsidRPr="00FD2883">
        <w:rPr>
          <w:rFonts w:asciiTheme="majorHAnsi" w:hAnsiTheme="majorHAnsi" w:cstheme="majorHAnsi"/>
          <w:sz w:val="18"/>
          <w:szCs w:val="18"/>
        </w:rPr>
        <w:t xml:space="preserve"> Sesong- og bruddjusterte ledighetstall.</w:t>
      </w:r>
    </w:p>
  </w:footnote>
  <w:footnote w:id="6">
    <w:p w14:paraId="5390581D" w14:textId="77777777" w:rsidR="00723672" w:rsidRPr="00FD2883" w:rsidRDefault="00723672" w:rsidP="00723672">
      <w:pPr>
        <w:pStyle w:val="Fotnotetekst"/>
        <w:rPr>
          <w:rFonts w:asciiTheme="majorHAnsi" w:hAnsiTheme="majorHAnsi" w:cstheme="majorHAnsi"/>
          <w:sz w:val="18"/>
          <w:szCs w:val="18"/>
        </w:rPr>
      </w:pPr>
      <w:r w:rsidRPr="00FD2883">
        <w:rPr>
          <w:rStyle w:val="Fotnotereferanse"/>
          <w:rFonts w:asciiTheme="majorHAnsi" w:hAnsiTheme="majorHAnsi" w:cstheme="majorHAnsi"/>
          <w:sz w:val="18"/>
          <w:szCs w:val="18"/>
        </w:rPr>
        <w:footnoteRef/>
      </w:r>
      <w:r w:rsidRPr="00FD2883">
        <w:rPr>
          <w:rFonts w:asciiTheme="majorHAnsi" w:hAnsiTheme="majorHAnsi" w:cstheme="majorHAnsi"/>
          <w:sz w:val="18"/>
          <w:szCs w:val="18"/>
        </w:rPr>
        <w:t xml:space="preserve"> Kraftig nedgang fra mars til april 2022 må sees i sammenheng med at de midlertidige koronareglene for dagpenger ble fjernet 1. april og at mange nådde maksimal permitteringsperiode denne våren.</w:t>
      </w:r>
    </w:p>
  </w:footnote>
  <w:footnote w:id="7">
    <w:p w14:paraId="63912DD2" w14:textId="77777777" w:rsidR="00723672" w:rsidRPr="0003617D" w:rsidRDefault="00723672" w:rsidP="00723672">
      <w:pPr>
        <w:pStyle w:val="Fotnotetekst"/>
        <w:rPr>
          <w:rFonts w:asciiTheme="majorHAnsi" w:hAnsiTheme="majorHAnsi" w:cstheme="majorHAnsi"/>
          <w:sz w:val="18"/>
          <w:szCs w:val="18"/>
        </w:rPr>
      </w:pPr>
      <w:r w:rsidRPr="00FD2883">
        <w:rPr>
          <w:rStyle w:val="Fotnotereferanse"/>
          <w:rFonts w:asciiTheme="majorHAnsi" w:hAnsiTheme="majorHAnsi" w:cstheme="majorHAnsi"/>
          <w:sz w:val="18"/>
          <w:szCs w:val="18"/>
        </w:rPr>
        <w:footnoteRef/>
      </w:r>
      <w:r w:rsidRPr="00FD2883">
        <w:rPr>
          <w:rFonts w:asciiTheme="majorHAnsi" w:hAnsiTheme="majorHAnsi" w:cstheme="majorHAnsi"/>
          <w:sz w:val="18"/>
          <w:szCs w:val="18"/>
        </w:rPr>
        <w:t xml:space="preserve"> Sesong- og bruddjustert</w:t>
      </w:r>
      <w:r>
        <w:rPr>
          <w:rFonts w:asciiTheme="majorHAnsi" w:hAnsiTheme="majorHAnsi" w:cstheme="majorHAnsi"/>
          <w:sz w:val="18"/>
          <w:szCs w:val="18"/>
        </w:rPr>
        <w:t>, med unntak av tall for permitterte som ikke justeres</w:t>
      </w:r>
      <w:r w:rsidRPr="00FD2883">
        <w:rPr>
          <w:rFonts w:asciiTheme="majorHAnsi" w:hAnsiTheme="majorHAnsi" w:cstheme="majorHAnsi"/>
          <w:sz w:val="18"/>
          <w:szCs w:val="18"/>
        </w:rPr>
        <w:t xml:space="preserve">. </w:t>
      </w:r>
    </w:p>
  </w:footnote>
  <w:footnote w:id="8">
    <w:p w14:paraId="5397B099" w14:textId="77777777" w:rsidR="00723672" w:rsidRPr="00FD2883" w:rsidRDefault="00723672" w:rsidP="00723672">
      <w:pPr>
        <w:pStyle w:val="Fotnotetekst"/>
        <w:rPr>
          <w:rFonts w:asciiTheme="majorHAnsi" w:hAnsiTheme="majorHAnsi" w:cstheme="majorHAnsi"/>
          <w:sz w:val="18"/>
          <w:szCs w:val="18"/>
        </w:rPr>
      </w:pPr>
      <w:r w:rsidRPr="00022BDB">
        <w:rPr>
          <w:rStyle w:val="Fotnotereferanse"/>
          <w:rFonts w:asciiTheme="majorHAnsi" w:hAnsiTheme="majorHAnsi" w:cstheme="majorHAnsi"/>
          <w:sz w:val="18"/>
          <w:szCs w:val="18"/>
        </w:rPr>
        <w:footnoteRef/>
      </w:r>
      <w:r w:rsidRPr="00022BDB">
        <w:rPr>
          <w:rFonts w:asciiTheme="majorHAnsi" w:hAnsiTheme="majorHAnsi" w:cstheme="majorHAnsi"/>
          <w:sz w:val="18"/>
          <w:szCs w:val="18"/>
        </w:rPr>
        <w:t xml:space="preserve"> Sesong- og bruddjusterte tall fra Arbeidskraftundersøkelsen.</w:t>
      </w:r>
    </w:p>
  </w:footnote>
  <w:footnote w:id="9">
    <w:p w14:paraId="7D5EB937" w14:textId="77777777" w:rsidR="00723672" w:rsidRDefault="00723672" w:rsidP="00723672">
      <w:pPr>
        <w:pStyle w:val="Fotnotetekst"/>
      </w:pPr>
      <w:r>
        <w:rPr>
          <w:rStyle w:val="Fotnotereferanse"/>
        </w:rPr>
        <w:footnoteRef/>
      </w:r>
      <w:r>
        <w:t xml:space="preserve"> </w:t>
      </w:r>
      <w:proofErr w:type="spellStart"/>
      <w:r w:rsidRPr="00E16155">
        <w:rPr>
          <w:rFonts w:asciiTheme="majorHAnsi" w:hAnsiTheme="majorHAnsi" w:cstheme="majorHAnsi"/>
          <w:sz w:val="18"/>
          <w:szCs w:val="18"/>
        </w:rPr>
        <w:t>Registerbasert</w:t>
      </w:r>
      <w:proofErr w:type="spellEnd"/>
      <w:r w:rsidRPr="00E16155">
        <w:rPr>
          <w:rFonts w:asciiTheme="majorHAnsi" w:hAnsiTheme="majorHAnsi" w:cstheme="majorHAnsi"/>
          <w:sz w:val="18"/>
          <w:szCs w:val="18"/>
        </w:rPr>
        <w:t xml:space="preserve"> statistikk, SSB</w:t>
      </w:r>
    </w:p>
  </w:footnote>
  <w:footnote w:id="10">
    <w:p w14:paraId="35F478CE" w14:textId="77777777" w:rsidR="00723672" w:rsidRPr="00034C0E" w:rsidRDefault="00723672" w:rsidP="00723672">
      <w:pPr>
        <w:pStyle w:val="Fotnotetekst"/>
        <w:rPr>
          <w:rFonts w:asciiTheme="majorHAnsi" w:hAnsiTheme="majorHAnsi" w:cstheme="majorHAnsi"/>
          <w:sz w:val="18"/>
          <w:szCs w:val="18"/>
        </w:rPr>
      </w:pPr>
      <w:r w:rsidRPr="00FD2883">
        <w:rPr>
          <w:rStyle w:val="Fotnotereferanse"/>
          <w:rFonts w:asciiTheme="majorHAnsi" w:hAnsiTheme="majorHAnsi" w:cstheme="majorHAnsi"/>
          <w:sz w:val="18"/>
          <w:szCs w:val="18"/>
        </w:rPr>
        <w:footnoteRef/>
      </w:r>
      <w:r w:rsidRPr="00FD2883">
        <w:rPr>
          <w:rFonts w:asciiTheme="majorHAnsi" w:hAnsiTheme="majorHAnsi" w:cstheme="majorHAnsi"/>
          <w:sz w:val="18"/>
          <w:szCs w:val="18"/>
        </w:rPr>
        <w:t xml:space="preserve"> </w:t>
      </w:r>
      <w:r>
        <w:rPr>
          <w:rFonts w:asciiTheme="majorHAnsi" w:hAnsiTheme="majorHAnsi" w:cstheme="majorHAnsi"/>
          <w:sz w:val="18"/>
          <w:szCs w:val="18"/>
        </w:rPr>
        <w:t>Blant de ti landene med høyest nettoinnflytting til Norge var det et større innslag av lavinntektsland og Øst-europeiske EU-land i 2019 enn i 2021, med unntak av Polen. Polsk nettoinnvandring til Norge var høyere i 2021.</w:t>
      </w:r>
    </w:p>
  </w:footnote>
  <w:footnote w:id="11">
    <w:p w14:paraId="7ECB3A31" w14:textId="77777777" w:rsidR="00723672" w:rsidRDefault="00723672" w:rsidP="00723672">
      <w:pPr>
        <w:pStyle w:val="Fotnotetekst"/>
      </w:pPr>
      <w:r w:rsidRPr="00B25F98">
        <w:rPr>
          <w:rStyle w:val="Fotnotereferanse"/>
          <w:rFonts w:asciiTheme="majorHAnsi" w:hAnsiTheme="majorHAnsi" w:cstheme="majorHAnsi"/>
          <w:sz w:val="18"/>
          <w:szCs w:val="18"/>
        </w:rPr>
        <w:footnoteRef/>
      </w:r>
      <w:r w:rsidRPr="00B25F98">
        <w:rPr>
          <w:rFonts w:asciiTheme="majorHAnsi" w:hAnsiTheme="majorHAnsi" w:cstheme="majorHAnsi"/>
          <w:sz w:val="18"/>
          <w:szCs w:val="18"/>
        </w:rPr>
        <w:t xml:space="preserve"> Tall fra hhv. AKU i 2021 og </w:t>
      </w:r>
      <w:proofErr w:type="spellStart"/>
      <w:r w:rsidRPr="00B25F98">
        <w:rPr>
          <w:rFonts w:asciiTheme="majorHAnsi" w:hAnsiTheme="majorHAnsi" w:cstheme="majorHAnsi"/>
          <w:sz w:val="18"/>
          <w:szCs w:val="18"/>
        </w:rPr>
        <w:t>registerbasert</w:t>
      </w:r>
      <w:proofErr w:type="spellEnd"/>
      <w:r w:rsidRPr="00B25F98">
        <w:rPr>
          <w:rFonts w:asciiTheme="majorHAnsi" w:hAnsiTheme="majorHAnsi" w:cstheme="majorHAnsi"/>
          <w:sz w:val="18"/>
          <w:szCs w:val="18"/>
        </w:rPr>
        <w:t xml:space="preserve"> statistikk i 2020.</w:t>
      </w:r>
    </w:p>
  </w:footnote>
  <w:footnote w:id="12">
    <w:p w14:paraId="55847551" w14:textId="14168FEC" w:rsidR="00723672" w:rsidRPr="00502B39" w:rsidRDefault="00723672" w:rsidP="00723672">
      <w:pPr>
        <w:pStyle w:val="Fotnotetekst"/>
        <w:rPr>
          <w:rFonts w:asciiTheme="majorHAnsi" w:hAnsiTheme="majorHAnsi" w:cstheme="majorHAnsi"/>
        </w:rPr>
      </w:pPr>
      <w:r w:rsidRPr="00502B39">
        <w:rPr>
          <w:rStyle w:val="Fotnotereferanse"/>
          <w:rFonts w:asciiTheme="majorHAnsi" w:hAnsiTheme="majorHAnsi" w:cstheme="majorHAnsi"/>
          <w:sz w:val="18"/>
          <w:szCs w:val="16"/>
        </w:rPr>
        <w:footnoteRef/>
      </w:r>
      <w:r w:rsidRPr="00502B39">
        <w:rPr>
          <w:rFonts w:asciiTheme="majorHAnsi" w:hAnsiTheme="majorHAnsi" w:cstheme="majorHAnsi"/>
          <w:sz w:val="18"/>
          <w:szCs w:val="16"/>
        </w:rPr>
        <w:t xml:space="preserve"> </w:t>
      </w:r>
      <w:r w:rsidR="000E707D" w:rsidRPr="00DC2CD3">
        <w:rPr>
          <w:sz w:val="18"/>
          <w:szCs w:val="18"/>
        </w:rPr>
        <w:t>hhv. 6,5 og 2,8 pst.-poeng</w:t>
      </w:r>
      <w:r w:rsidR="000E707D">
        <w:rPr>
          <w:rFonts w:asciiTheme="majorHAnsi" w:hAnsiTheme="majorHAnsi" w:cstheme="majorHAnsi"/>
          <w:sz w:val="18"/>
          <w:szCs w:val="16"/>
        </w:rPr>
        <w:t>.</w:t>
      </w:r>
      <w:r w:rsidRPr="00502B39">
        <w:rPr>
          <w:rFonts w:asciiTheme="majorHAnsi" w:hAnsiTheme="majorHAnsi" w:cstheme="majorHAnsi"/>
          <w:sz w:val="18"/>
          <w:szCs w:val="16"/>
        </w:rPr>
        <w:t xml:space="preserve"> Sesong- og bruddjusterte tall.</w:t>
      </w:r>
    </w:p>
  </w:footnote>
  <w:footnote w:id="13">
    <w:p w14:paraId="3BC9EAAB" w14:textId="77777777" w:rsidR="00723672" w:rsidRPr="00DE1D43" w:rsidRDefault="00723672" w:rsidP="00723672">
      <w:pPr>
        <w:pStyle w:val="Fotnotetekst"/>
        <w:rPr>
          <w:rFonts w:ascii="Open Sans" w:hAnsi="Open Sans" w:cs="Open Sans"/>
          <w:sz w:val="18"/>
          <w:szCs w:val="18"/>
          <w:lang w:val="en-GB"/>
        </w:rPr>
      </w:pPr>
      <w:r w:rsidRPr="00723672">
        <w:rPr>
          <w:rStyle w:val="Fotnotereferanse"/>
          <w:rFonts w:ascii="Open Sans" w:hAnsi="Open Sans" w:cs="Open Sans"/>
          <w:sz w:val="18"/>
          <w:szCs w:val="18"/>
        </w:rPr>
        <w:footnoteRef/>
      </w:r>
      <w:r w:rsidRPr="00DE1D43">
        <w:rPr>
          <w:rFonts w:ascii="Open Sans" w:hAnsi="Open Sans" w:cs="Open Sans"/>
          <w:sz w:val="18"/>
          <w:szCs w:val="18"/>
          <w:lang w:val="en-GB"/>
        </w:rPr>
        <w:t xml:space="preserve"> Norges Bank (2022). </w:t>
      </w:r>
      <w:proofErr w:type="spellStart"/>
      <w:r w:rsidRPr="00DE1D43">
        <w:rPr>
          <w:rFonts w:ascii="Open Sans" w:hAnsi="Open Sans" w:cs="Open Sans"/>
          <w:sz w:val="18"/>
          <w:szCs w:val="18"/>
          <w:lang w:val="en-GB"/>
        </w:rPr>
        <w:t>Pengepolitisk</w:t>
      </w:r>
      <w:proofErr w:type="spellEnd"/>
      <w:r w:rsidRPr="00DE1D43">
        <w:rPr>
          <w:rFonts w:ascii="Open Sans" w:hAnsi="Open Sans" w:cs="Open Sans"/>
          <w:sz w:val="18"/>
          <w:szCs w:val="18"/>
          <w:lang w:val="en-GB"/>
        </w:rPr>
        <w:t xml:space="preserve"> rapport 1/22.</w:t>
      </w:r>
    </w:p>
  </w:footnote>
  <w:footnote w:id="14">
    <w:p w14:paraId="51054222" w14:textId="77777777" w:rsidR="00800235" w:rsidRPr="00CB2E58" w:rsidRDefault="00800235" w:rsidP="00800235">
      <w:pPr>
        <w:pStyle w:val="Fotnotetekst"/>
        <w:rPr>
          <w:rFonts w:asciiTheme="majorHAnsi" w:hAnsiTheme="majorHAnsi" w:cstheme="majorHAnsi"/>
          <w:sz w:val="18"/>
          <w:szCs w:val="18"/>
          <w:lang w:val="en-US"/>
        </w:rPr>
      </w:pPr>
      <w:r w:rsidRPr="00CB2E58">
        <w:rPr>
          <w:rStyle w:val="Fotnotereferanse"/>
          <w:rFonts w:asciiTheme="majorHAnsi" w:hAnsiTheme="majorHAnsi" w:cstheme="majorHAnsi"/>
          <w:sz w:val="18"/>
          <w:szCs w:val="18"/>
        </w:rPr>
        <w:footnoteRef/>
      </w:r>
      <w:r w:rsidRPr="00CB2E58">
        <w:rPr>
          <w:rFonts w:asciiTheme="majorHAnsi" w:hAnsiTheme="majorHAnsi" w:cstheme="majorHAnsi"/>
          <w:sz w:val="18"/>
          <w:szCs w:val="18"/>
          <w:lang w:val="en-US"/>
        </w:rPr>
        <w:t xml:space="preserve"> NEET </w:t>
      </w:r>
      <w:proofErr w:type="spellStart"/>
      <w:r w:rsidRPr="00CB2E58">
        <w:rPr>
          <w:rFonts w:asciiTheme="majorHAnsi" w:hAnsiTheme="majorHAnsi" w:cstheme="majorHAnsi"/>
          <w:sz w:val="18"/>
          <w:szCs w:val="18"/>
          <w:lang w:val="en-US"/>
        </w:rPr>
        <w:t>står</w:t>
      </w:r>
      <w:proofErr w:type="spellEnd"/>
      <w:r w:rsidRPr="00CB2E58">
        <w:rPr>
          <w:rFonts w:asciiTheme="majorHAnsi" w:hAnsiTheme="majorHAnsi" w:cstheme="majorHAnsi"/>
          <w:sz w:val="18"/>
          <w:szCs w:val="18"/>
          <w:lang w:val="en-US"/>
        </w:rPr>
        <w:t xml:space="preserve"> for “Not in Employment, Education nor Training”. </w:t>
      </w:r>
    </w:p>
  </w:footnote>
  <w:footnote w:id="15">
    <w:p w14:paraId="51C6EBE4" w14:textId="77777777" w:rsidR="00800235" w:rsidRPr="00CB2E58" w:rsidRDefault="00800235" w:rsidP="00800235">
      <w:pPr>
        <w:pStyle w:val="Fotnotetekst"/>
        <w:rPr>
          <w:rFonts w:asciiTheme="majorHAnsi" w:hAnsiTheme="majorHAnsi" w:cstheme="majorHAnsi"/>
          <w:sz w:val="18"/>
          <w:szCs w:val="18"/>
          <w:lang w:val="en-US"/>
        </w:rPr>
      </w:pPr>
      <w:r w:rsidRPr="00CB2E58">
        <w:rPr>
          <w:rStyle w:val="Fotnotereferanse"/>
          <w:rFonts w:asciiTheme="majorHAnsi" w:hAnsiTheme="majorHAnsi" w:cstheme="majorHAnsi"/>
          <w:sz w:val="18"/>
          <w:szCs w:val="18"/>
        </w:rPr>
        <w:footnoteRef/>
      </w:r>
      <w:r w:rsidRPr="00CB2E58">
        <w:rPr>
          <w:rFonts w:asciiTheme="majorHAnsi" w:hAnsiTheme="majorHAnsi" w:cstheme="majorHAnsi"/>
          <w:sz w:val="18"/>
          <w:szCs w:val="18"/>
          <w:lang w:val="en-US"/>
        </w:rPr>
        <w:t xml:space="preserve"> OECD (2018). “Investing in Youth: Norway”. https://www.oecd-ilibrary.org/social-issues-migration-health/investing-in-youth-norway_9789264283671-en;jsessionid=iYzaiv7oTZjCy5bRY4VuEa4_.ip-10-240-5-12</w:t>
      </w:r>
    </w:p>
  </w:footnote>
  <w:footnote w:id="16">
    <w:p w14:paraId="66768A2F" w14:textId="77777777" w:rsidR="00DE576F" w:rsidRPr="002F68A1" w:rsidRDefault="00DE576F" w:rsidP="00DE576F">
      <w:pPr>
        <w:pStyle w:val="Fotnotetekst"/>
        <w:rPr>
          <w:rFonts w:asciiTheme="majorHAnsi" w:hAnsiTheme="majorHAnsi" w:cstheme="majorHAnsi"/>
          <w:sz w:val="18"/>
          <w:szCs w:val="18"/>
        </w:rPr>
      </w:pPr>
      <w:r w:rsidRPr="002F68A1">
        <w:rPr>
          <w:rStyle w:val="Fotnotereferanse"/>
          <w:rFonts w:asciiTheme="majorHAnsi" w:hAnsiTheme="majorHAnsi" w:cstheme="majorHAnsi"/>
          <w:sz w:val="18"/>
          <w:szCs w:val="18"/>
        </w:rPr>
        <w:footnoteRef/>
      </w:r>
      <w:r w:rsidRPr="002F68A1">
        <w:rPr>
          <w:rFonts w:asciiTheme="majorHAnsi" w:hAnsiTheme="majorHAnsi" w:cstheme="majorHAnsi"/>
          <w:sz w:val="18"/>
          <w:szCs w:val="18"/>
        </w:rPr>
        <w:t xml:space="preserve"> Helt arbeidsløs, delvis arbeidsløs eller arbeidssøker på tiltak.</w:t>
      </w:r>
    </w:p>
  </w:footnote>
  <w:footnote w:id="17">
    <w:p w14:paraId="6CA01167" w14:textId="77777777" w:rsidR="00DE576F" w:rsidRPr="002F68A1" w:rsidRDefault="00DE576F" w:rsidP="00DE576F">
      <w:pPr>
        <w:pStyle w:val="Fotnotetekst"/>
        <w:rPr>
          <w:rFonts w:asciiTheme="majorHAnsi" w:hAnsiTheme="majorHAnsi" w:cstheme="majorHAnsi"/>
          <w:sz w:val="18"/>
          <w:szCs w:val="18"/>
        </w:rPr>
      </w:pPr>
      <w:r w:rsidRPr="002F68A1">
        <w:rPr>
          <w:rStyle w:val="Fotnotereferanse"/>
          <w:rFonts w:asciiTheme="majorHAnsi" w:hAnsiTheme="majorHAnsi" w:cstheme="majorHAnsi"/>
          <w:sz w:val="18"/>
          <w:szCs w:val="18"/>
        </w:rPr>
        <w:footnoteRef/>
      </w:r>
      <w:r w:rsidRPr="002F68A1">
        <w:rPr>
          <w:rFonts w:asciiTheme="majorHAnsi" w:hAnsiTheme="majorHAnsi" w:cstheme="majorHAnsi"/>
          <w:sz w:val="18"/>
          <w:szCs w:val="18"/>
        </w:rPr>
        <w:t xml:space="preserve"> Under oljepriskrisen og finanskrisen utgjorde de på sitt høyeste hhv. 35 pst. og 32 pst.</w:t>
      </w:r>
    </w:p>
  </w:footnote>
  <w:footnote w:id="18">
    <w:p w14:paraId="3C78893B" w14:textId="77777777" w:rsidR="00961844" w:rsidRPr="00FD38AF" w:rsidRDefault="00961844" w:rsidP="00961844">
      <w:pPr>
        <w:pStyle w:val="Fotnotetekst"/>
        <w:rPr>
          <w:rFonts w:asciiTheme="majorHAnsi" w:hAnsiTheme="majorHAnsi" w:cstheme="majorHAnsi"/>
        </w:rPr>
      </w:pPr>
      <w:r w:rsidRPr="00FD38AF">
        <w:rPr>
          <w:rStyle w:val="Fotnotereferanse"/>
          <w:rFonts w:asciiTheme="majorHAnsi" w:hAnsiTheme="majorHAnsi" w:cstheme="majorHAnsi"/>
          <w:sz w:val="18"/>
          <w:szCs w:val="16"/>
        </w:rPr>
        <w:footnoteRef/>
      </w:r>
      <w:r w:rsidRPr="00FD38AF">
        <w:rPr>
          <w:rFonts w:asciiTheme="majorHAnsi" w:hAnsiTheme="majorHAnsi" w:cstheme="majorHAnsi"/>
          <w:sz w:val="18"/>
          <w:szCs w:val="16"/>
        </w:rPr>
        <w:t xml:space="preserve"> Arbeidssøker med varighet over 6 måneder.</w:t>
      </w:r>
    </w:p>
  </w:footnote>
  <w:footnote w:id="19">
    <w:p w14:paraId="7F02171E" w14:textId="77777777" w:rsidR="00244EC1" w:rsidRPr="000F5015" w:rsidRDefault="00244EC1" w:rsidP="00244EC1">
      <w:pPr>
        <w:pStyle w:val="Fotnotetekst"/>
      </w:pPr>
      <w:r w:rsidRPr="002F68A1">
        <w:rPr>
          <w:rStyle w:val="Fotnotereferanse"/>
          <w:rFonts w:asciiTheme="majorHAnsi" w:hAnsiTheme="majorHAnsi" w:cstheme="majorHAnsi"/>
          <w:sz w:val="18"/>
          <w:szCs w:val="18"/>
        </w:rPr>
        <w:footnoteRef/>
      </w:r>
      <w:r w:rsidRPr="002F68A1">
        <w:rPr>
          <w:rFonts w:asciiTheme="majorHAnsi" w:hAnsiTheme="majorHAnsi" w:cstheme="majorHAnsi"/>
          <w:sz w:val="18"/>
          <w:szCs w:val="18"/>
        </w:rPr>
        <w:t xml:space="preserve"> </w:t>
      </w:r>
      <w:r>
        <w:rPr>
          <w:rFonts w:asciiTheme="majorHAnsi" w:hAnsiTheme="majorHAnsi" w:cstheme="majorHAnsi"/>
          <w:sz w:val="18"/>
          <w:szCs w:val="18"/>
        </w:rPr>
        <w:t>Hvor frafall betegner en person med</w:t>
      </w:r>
      <w:r w:rsidRPr="00051AF7">
        <w:rPr>
          <w:rFonts w:asciiTheme="majorHAnsi" w:hAnsiTheme="majorHAnsi" w:cstheme="majorHAnsi"/>
          <w:sz w:val="18"/>
          <w:szCs w:val="18"/>
        </w:rPr>
        <w:t xml:space="preserve"> ni måneders sammenhengende sykefravær og </w:t>
      </w:r>
      <w:r>
        <w:rPr>
          <w:rFonts w:asciiTheme="majorHAnsi" w:hAnsiTheme="majorHAnsi" w:cstheme="majorHAnsi"/>
          <w:sz w:val="18"/>
          <w:szCs w:val="18"/>
        </w:rPr>
        <w:t>står uten arbeid</w:t>
      </w:r>
      <w:r w:rsidRPr="00051AF7">
        <w:rPr>
          <w:rFonts w:asciiTheme="majorHAnsi" w:hAnsiTheme="majorHAnsi" w:cstheme="majorHAnsi"/>
          <w:sz w:val="18"/>
          <w:szCs w:val="18"/>
        </w:rPr>
        <w:t xml:space="preserve"> seks måneder senere. </w:t>
      </w:r>
      <w:r>
        <w:rPr>
          <w:rFonts w:asciiTheme="majorHAnsi" w:hAnsiTheme="majorHAnsi" w:cstheme="majorHAnsi"/>
          <w:sz w:val="18"/>
          <w:szCs w:val="18"/>
        </w:rPr>
        <w:t>Indikatoren viser dem som</w:t>
      </w:r>
      <w:r w:rsidRPr="00051AF7">
        <w:rPr>
          <w:rFonts w:asciiTheme="majorHAnsi" w:hAnsiTheme="majorHAnsi" w:cstheme="majorHAnsi"/>
          <w:sz w:val="18"/>
          <w:szCs w:val="18"/>
        </w:rPr>
        <w:t xml:space="preserve"> andel av alle lønnstakere</w:t>
      </w:r>
      <w:r>
        <w:rPr>
          <w:rFonts w:asciiTheme="majorHAnsi" w:hAnsiTheme="majorHAnsi" w:cstheme="majorHAnsi"/>
          <w:sz w:val="18"/>
          <w:szCs w:val="18"/>
        </w:rPr>
        <w:t>. Den falt fra</w:t>
      </w:r>
      <w:r w:rsidRPr="002F68A1">
        <w:rPr>
          <w:rFonts w:asciiTheme="majorHAnsi" w:hAnsiTheme="majorHAnsi" w:cstheme="majorHAnsi"/>
          <w:sz w:val="18"/>
          <w:szCs w:val="18"/>
        </w:rPr>
        <w:t xml:space="preserve"> 2,2 til 1,2 pst. av sysselsatte. Mye av fallet skyldes at færre personer bruker opp sykepengerettighetene sine. </w:t>
      </w:r>
      <w:r>
        <w:rPr>
          <w:rFonts w:asciiTheme="majorHAnsi" w:hAnsiTheme="majorHAnsi" w:cstheme="majorHAnsi"/>
          <w:sz w:val="18"/>
          <w:szCs w:val="18"/>
        </w:rPr>
        <w:t xml:space="preserve">Kilde: </w:t>
      </w:r>
      <w:r w:rsidRPr="002F68A1">
        <w:rPr>
          <w:rFonts w:asciiTheme="majorHAnsi" w:hAnsiTheme="majorHAnsi" w:cstheme="majorHAnsi"/>
          <w:sz w:val="18"/>
          <w:szCs w:val="18"/>
        </w:rPr>
        <w:t>Lysø og Nossen (2019). «Frafall fra arbeidslivet etter langtidssykmelding”. Arbeid og velferd, nr. 1.</w:t>
      </w:r>
    </w:p>
  </w:footnote>
  <w:footnote w:id="20">
    <w:p w14:paraId="51B67998" w14:textId="77777777" w:rsidR="00B60D4A" w:rsidRPr="00A92B2C" w:rsidRDefault="00B60D4A" w:rsidP="00B60D4A">
      <w:pPr>
        <w:pStyle w:val="Fotnotetekst"/>
        <w:rPr>
          <w:rFonts w:asciiTheme="majorHAnsi" w:hAnsiTheme="majorHAnsi" w:cstheme="majorHAnsi"/>
        </w:rPr>
      </w:pPr>
      <w:r w:rsidRPr="00CB2E58">
        <w:rPr>
          <w:rStyle w:val="Fotnotereferanse"/>
          <w:rFonts w:asciiTheme="majorHAnsi" w:hAnsiTheme="majorHAnsi" w:cstheme="majorHAnsi"/>
          <w:sz w:val="18"/>
          <w:szCs w:val="18"/>
        </w:rPr>
        <w:footnoteRef/>
      </w:r>
      <w:r w:rsidRPr="00CB2E58">
        <w:rPr>
          <w:rFonts w:asciiTheme="majorHAnsi" w:hAnsiTheme="majorHAnsi" w:cstheme="majorHAnsi"/>
          <w:sz w:val="18"/>
          <w:szCs w:val="18"/>
        </w:rPr>
        <w:t xml:space="preserve"> Årsgjennomsnitt for 2022 dekker januar til mars.</w:t>
      </w:r>
    </w:p>
  </w:footnote>
  <w:footnote w:id="21">
    <w:p w14:paraId="49E0FC90" w14:textId="77777777" w:rsidR="00244EC1" w:rsidRPr="00CB2E58" w:rsidRDefault="00244EC1" w:rsidP="00244EC1">
      <w:pPr>
        <w:pStyle w:val="Fotnotetekst"/>
        <w:rPr>
          <w:rFonts w:asciiTheme="majorHAnsi" w:hAnsiTheme="majorHAnsi" w:cstheme="majorHAnsi"/>
          <w:sz w:val="18"/>
          <w:szCs w:val="18"/>
        </w:rPr>
      </w:pPr>
      <w:r w:rsidRPr="00CB2E58">
        <w:rPr>
          <w:rStyle w:val="Fotnotereferanse"/>
          <w:rFonts w:asciiTheme="majorHAnsi" w:hAnsiTheme="majorHAnsi" w:cstheme="majorHAnsi"/>
          <w:sz w:val="18"/>
          <w:szCs w:val="18"/>
        </w:rPr>
        <w:footnoteRef/>
      </w:r>
      <w:r w:rsidRPr="00CB2E58">
        <w:rPr>
          <w:rFonts w:asciiTheme="majorHAnsi" w:hAnsiTheme="majorHAnsi" w:cstheme="majorHAnsi"/>
          <w:sz w:val="18"/>
          <w:szCs w:val="18"/>
        </w:rPr>
        <w:t xml:space="preserve"> </w:t>
      </w:r>
      <w:r>
        <w:rPr>
          <w:rFonts w:asciiTheme="majorHAnsi" w:hAnsiTheme="majorHAnsi" w:cstheme="majorHAnsi"/>
          <w:sz w:val="18"/>
          <w:szCs w:val="18"/>
        </w:rPr>
        <w:t>Sysselsettingsutvalget (2021). «Kompetanse, aktivitet og inntektssikring». Side 137 og 124.</w:t>
      </w:r>
    </w:p>
  </w:footnote>
  <w:footnote w:id="22">
    <w:p w14:paraId="5745EEC3" w14:textId="77777777" w:rsidR="00244EC1" w:rsidRPr="007F465D" w:rsidRDefault="00244EC1" w:rsidP="00244EC1">
      <w:pPr>
        <w:pStyle w:val="Fotnotetekst"/>
        <w:rPr>
          <w:rFonts w:asciiTheme="majorHAnsi" w:hAnsiTheme="majorHAnsi" w:cstheme="majorHAnsi"/>
        </w:rPr>
      </w:pPr>
      <w:r w:rsidRPr="007F465D">
        <w:rPr>
          <w:rStyle w:val="Fotnotereferanse"/>
          <w:rFonts w:asciiTheme="majorHAnsi" w:hAnsiTheme="majorHAnsi" w:cstheme="majorHAnsi"/>
          <w:sz w:val="18"/>
          <w:szCs w:val="16"/>
        </w:rPr>
        <w:footnoteRef/>
      </w:r>
      <w:r w:rsidRPr="007F465D">
        <w:rPr>
          <w:rFonts w:asciiTheme="majorHAnsi" w:hAnsiTheme="majorHAnsi" w:cstheme="majorHAnsi"/>
          <w:sz w:val="18"/>
          <w:szCs w:val="16"/>
        </w:rPr>
        <w:t xml:space="preserve"> For arbeidssøkere på tiltak. Andre tiltaksplasser er for personer med nedsatt arbeidsevne.</w:t>
      </w:r>
    </w:p>
  </w:footnote>
  <w:footnote w:id="23">
    <w:p w14:paraId="30E58F80" w14:textId="77777777" w:rsidR="00244EC1" w:rsidRPr="00C0006C" w:rsidRDefault="00244EC1" w:rsidP="00244EC1">
      <w:pPr>
        <w:pStyle w:val="Fotnotetekst"/>
        <w:rPr>
          <w:rFonts w:asciiTheme="majorHAnsi" w:hAnsiTheme="majorHAnsi" w:cstheme="majorHAnsi"/>
        </w:rPr>
      </w:pPr>
      <w:r w:rsidRPr="00C0006C">
        <w:rPr>
          <w:rStyle w:val="Fotnotereferanse"/>
          <w:rFonts w:asciiTheme="majorHAnsi" w:hAnsiTheme="majorHAnsi" w:cstheme="majorHAnsi"/>
          <w:sz w:val="18"/>
          <w:szCs w:val="16"/>
        </w:rPr>
        <w:footnoteRef/>
      </w:r>
      <w:r w:rsidRPr="00C0006C">
        <w:rPr>
          <w:rFonts w:asciiTheme="majorHAnsi" w:hAnsiTheme="majorHAnsi" w:cstheme="majorHAnsi"/>
          <w:sz w:val="18"/>
          <w:szCs w:val="16"/>
        </w:rPr>
        <w:t xml:space="preserve"> </w:t>
      </w:r>
      <w:r>
        <w:rPr>
          <w:rFonts w:asciiTheme="majorHAnsi" w:hAnsiTheme="majorHAnsi" w:cstheme="majorHAnsi"/>
          <w:sz w:val="18"/>
          <w:szCs w:val="16"/>
        </w:rPr>
        <w:t>Sysselsettingsutvalget fant at lønnstilskudd var spesielt effektive. De</w:t>
      </w:r>
      <w:r w:rsidRPr="00BD34F7">
        <w:rPr>
          <w:rFonts w:asciiTheme="majorHAnsi" w:hAnsiTheme="majorHAnsi" w:cstheme="majorHAnsi"/>
          <w:sz w:val="18"/>
          <w:szCs w:val="16"/>
        </w:rPr>
        <w:t xml:space="preserve"> kan</w:t>
      </w:r>
      <w:r>
        <w:rPr>
          <w:rFonts w:asciiTheme="majorHAnsi" w:hAnsiTheme="majorHAnsi" w:cstheme="majorHAnsi"/>
          <w:sz w:val="18"/>
          <w:szCs w:val="16"/>
        </w:rPr>
        <w:t xml:space="preserve"> innebære</w:t>
      </w:r>
      <w:r w:rsidRPr="00BD34F7">
        <w:rPr>
          <w:rFonts w:asciiTheme="majorHAnsi" w:hAnsiTheme="majorHAnsi" w:cstheme="majorHAnsi"/>
          <w:sz w:val="18"/>
          <w:szCs w:val="16"/>
        </w:rPr>
        <w:t xml:space="preserve"> hele og faste stillinger ved endt tiltaksperiode og inkludere fagbrev</w:t>
      </w:r>
      <w:r>
        <w:rPr>
          <w:rFonts w:asciiTheme="majorHAnsi" w:hAnsiTheme="majorHAnsi" w:cstheme="majorHAnsi"/>
          <w:sz w:val="18"/>
          <w:szCs w:val="16"/>
        </w:rPr>
        <w:t>.</w:t>
      </w:r>
      <w:r w:rsidRPr="00BD34F7">
        <w:rPr>
          <w:rFonts w:asciiTheme="majorHAnsi" w:hAnsiTheme="majorHAnsi" w:cstheme="majorHAnsi"/>
          <w:sz w:val="18"/>
          <w:szCs w:val="16"/>
        </w:rPr>
        <w:t xml:space="preserve"> </w:t>
      </w:r>
      <w:r>
        <w:rPr>
          <w:rFonts w:asciiTheme="majorHAnsi" w:hAnsiTheme="majorHAnsi" w:cstheme="majorHAnsi"/>
          <w:sz w:val="18"/>
          <w:szCs w:val="16"/>
        </w:rPr>
        <w:t xml:space="preserve">Et eksempel er Møller Medvind-metoden. </w:t>
      </w:r>
    </w:p>
  </w:footnote>
  <w:footnote w:id="24">
    <w:p w14:paraId="726B4AF6" w14:textId="77777777" w:rsidR="00B1531D" w:rsidRPr="00B1531D" w:rsidRDefault="00B1531D" w:rsidP="00B1531D">
      <w:pPr>
        <w:pStyle w:val="Fotnotetekst"/>
        <w:rPr>
          <w:sz w:val="18"/>
          <w:szCs w:val="18"/>
        </w:rPr>
      </w:pPr>
      <w:r w:rsidRPr="00B1531D">
        <w:rPr>
          <w:rStyle w:val="Fotnotereferanse"/>
          <w:sz w:val="18"/>
          <w:szCs w:val="18"/>
        </w:rPr>
        <w:footnoteRef/>
      </w:r>
      <w:r w:rsidRPr="00B1531D">
        <w:rPr>
          <w:sz w:val="18"/>
          <w:szCs w:val="18"/>
        </w:rPr>
        <w:t xml:space="preserve"> SSB definerer gjeldsgrad som gjeld som andel av disponibel inntekt. </w:t>
      </w:r>
    </w:p>
  </w:footnote>
  <w:footnote w:id="25">
    <w:p w14:paraId="1927AB44" w14:textId="77777777" w:rsidR="00B1531D" w:rsidRDefault="00B1531D" w:rsidP="00B1531D">
      <w:pPr>
        <w:pStyle w:val="Fotnotetekst"/>
      </w:pPr>
      <w:r w:rsidRPr="00B1531D">
        <w:rPr>
          <w:rStyle w:val="Fotnotereferanse"/>
          <w:sz w:val="18"/>
          <w:szCs w:val="18"/>
        </w:rPr>
        <w:footnoteRef/>
      </w:r>
      <w:r w:rsidRPr="00B1531D">
        <w:rPr>
          <w:sz w:val="18"/>
          <w:szCs w:val="18"/>
        </w:rPr>
        <w:t xml:space="preserve"> Annuitetslån er standard låneform for alle som søke boliglån i dag. Låneformen innebærer likt nedbetalingsbeløp hver måned gitt lik rente. Når renten endres </w:t>
      </w:r>
      <w:proofErr w:type="spellStart"/>
      <w:r w:rsidRPr="00B1531D">
        <w:rPr>
          <w:sz w:val="18"/>
          <w:szCs w:val="18"/>
        </w:rPr>
        <w:t>omkalkuleres</w:t>
      </w:r>
      <w:proofErr w:type="spellEnd"/>
      <w:r w:rsidRPr="00B1531D">
        <w:rPr>
          <w:sz w:val="18"/>
          <w:szCs w:val="18"/>
        </w:rPr>
        <w:t xml:space="preserve"> hele nedbetalingsplanen slik at renteeffekten fordeles utover nedbetalingsperioden.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907C" w14:textId="77777777" w:rsidR="00D800CF" w:rsidRDefault="00D800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40FCF"/>
    <w:multiLevelType w:val="multilevel"/>
    <w:tmpl w:val="0292EE40"/>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5158671C"/>
    <w:multiLevelType w:val="hybridMultilevel"/>
    <w:tmpl w:val="D8E0C484"/>
    <w:lvl w:ilvl="0" w:tplc="D66EB87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71E14EC"/>
    <w:multiLevelType w:val="hybridMultilevel"/>
    <w:tmpl w:val="6AC6B408"/>
    <w:lvl w:ilvl="0" w:tplc="6A94522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6C1E"/>
    <w:rsid w:val="0001090C"/>
    <w:rsid w:val="00012074"/>
    <w:rsid w:val="00025C2D"/>
    <w:rsid w:val="00035E51"/>
    <w:rsid w:val="00056D0C"/>
    <w:rsid w:val="00062B52"/>
    <w:rsid w:val="000724AF"/>
    <w:rsid w:val="00080C0B"/>
    <w:rsid w:val="000866B4"/>
    <w:rsid w:val="00097C56"/>
    <w:rsid w:val="000A1398"/>
    <w:rsid w:val="000A25AD"/>
    <w:rsid w:val="000A4768"/>
    <w:rsid w:val="000A5A9B"/>
    <w:rsid w:val="000B38F4"/>
    <w:rsid w:val="000B691C"/>
    <w:rsid w:val="000B789E"/>
    <w:rsid w:val="000C08DB"/>
    <w:rsid w:val="000C138D"/>
    <w:rsid w:val="000D27BE"/>
    <w:rsid w:val="000D7630"/>
    <w:rsid w:val="000E019F"/>
    <w:rsid w:val="000E1385"/>
    <w:rsid w:val="000E707D"/>
    <w:rsid w:val="000F0D0F"/>
    <w:rsid w:val="000F1E67"/>
    <w:rsid w:val="000F3BA9"/>
    <w:rsid w:val="000F3F15"/>
    <w:rsid w:val="000F6080"/>
    <w:rsid w:val="00100FA1"/>
    <w:rsid w:val="0011464D"/>
    <w:rsid w:val="0011495A"/>
    <w:rsid w:val="00131E8F"/>
    <w:rsid w:val="0013692A"/>
    <w:rsid w:val="001377C8"/>
    <w:rsid w:val="00140183"/>
    <w:rsid w:val="001437B6"/>
    <w:rsid w:val="00160BEA"/>
    <w:rsid w:val="00166CBD"/>
    <w:rsid w:val="001816A6"/>
    <w:rsid w:val="00194914"/>
    <w:rsid w:val="00195093"/>
    <w:rsid w:val="001A688E"/>
    <w:rsid w:val="001A7A2C"/>
    <w:rsid w:val="001B2322"/>
    <w:rsid w:val="001B55BF"/>
    <w:rsid w:val="001C42F0"/>
    <w:rsid w:val="001C59C6"/>
    <w:rsid w:val="001C70AC"/>
    <w:rsid w:val="001C7588"/>
    <w:rsid w:val="001E52B0"/>
    <w:rsid w:val="001E5813"/>
    <w:rsid w:val="001F137D"/>
    <w:rsid w:val="001F1F5E"/>
    <w:rsid w:val="00200AA4"/>
    <w:rsid w:val="0020460A"/>
    <w:rsid w:val="00212E93"/>
    <w:rsid w:val="00232DC8"/>
    <w:rsid w:val="0023527C"/>
    <w:rsid w:val="002377D2"/>
    <w:rsid w:val="00244EC1"/>
    <w:rsid w:val="0025085E"/>
    <w:rsid w:val="00250CF4"/>
    <w:rsid w:val="00254DB2"/>
    <w:rsid w:val="0025646D"/>
    <w:rsid w:val="00276370"/>
    <w:rsid w:val="00281833"/>
    <w:rsid w:val="00287F78"/>
    <w:rsid w:val="002925F6"/>
    <w:rsid w:val="00294689"/>
    <w:rsid w:val="002A0C0C"/>
    <w:rsid w:val="002A3E8F"/>
    <w:rsid w:val="002B065A"/>
    <w:rsid w:val="002C4B2A"/>
    <w:rsid w:val="002D1AAD"/>
    <w:rsid w:val="002E0C2B"/>
    <w:rsid w:val="002F16EF"/>
    <w:rsid w:val="002F16F5"/>
    <w:rsid w:val="002F431D"/>
    <w:rsid w:val="002F479D"/>
    <w:rsid w:val="00301C19"/>
    <w:rsid w:val="00307ADA"/>
    <w:rsid w:val="00310693"/>
    <w:rsid w:val="00313731"/>
    <w:rsid w:val="00326CBD"/>
    <w:rsid w:val="00327268"/>
    <w:rsid w:val="003317DE"/>
    <w:rsid w:val="003356D5"/>
    <w:rsid w:val="003370AB"/>
    <w:rsid w:val="00343059"/>
    <w:rsid w:val="003462C2"/>
    <w:rsid w:val="00351F54"/>
    <w:rsid w:val="00352F5F"/>
    <w:rsid w:val="0035642C"/>
    <w:rsid w:val="00376BEF"/>
    <w:rsid w:val="00394BC2"/>
    <w:rsid w:val="00394DEF"/>
    <w:rsid w:val="003A563E"/>
    <w:rsid w:val="003B4D47"/>
    <w:rsid w:val="003C3BCF"/>
    <w:rsid w:val="003C6CB6"/>
    <w:rsid w:val="003C6DAB"/>
    <w:rsid w:val="003D2178"/>
    <w:rsid w:val="003D5DBA"/>
    <w:rsid w:val="003D7ED0"/>
    <w:rsid w:val="003E5C9A"/>
    <w:rsid w:val="003F01E5"/>
    <w:rsid w:val="003F4200"/>
    <w:rsid w:val="003F4B03"/>
    <w:rsid w:val="00400C3D"/>
    <w:rsid w:val="00405DEA"/>
    <w:rsid w:val="00413D36"/>
    <w:rsid w:val="00432588"/>
    <w:rsid w:val="00432E72"/>
    <w:rsid w:val="00441213"/>
    <w:rsid w:val="00447205"/>
    <w:rsid w:val="00451908"/>
    <w:rsid w:val="00453918"/>
    <w:rsid w:val="004641B1"/>
    <w:rsid w:val="004679A6"/>
    <w:rsid w:val="00470A12"/>
    <w:rsid w:val="00471C5F"/>
    <w:rsid w:val="00481A53"/>
    <w:rsid w:val="004857D9"/>
    <w:rsid w:val="00486CBC"/>
    <w:rsid w:val="00490D61"/>
    <w:rsid w:val="0049589F"/>
    <w:rsid w:val="004A09B8"/>
    <w:rsid w:val="004A5361"/>
    <w:rsid w:val="004A6516"/>
    <w:rsid w:val="004B3FCD"/>
    <w:rsid w:val="004B559C"/>
    <w:rsid w:val="004B5F84"/>
    <w:rsid w:val="004C2411"/>
    <w:rsid w:val="004C626B"/>
    <w:rsid w:val="004D076F"/>
    <w:rsid w:val="004D2163"/>
    <w:rsid w:val="004D71CD"/>
    <w:rsid w:val="004E5839"/>
    <w:rsid w:val="004F0C05"/>
    <w:rsid w:val="004F0CE4"/>
    <w:rsid w:val="00500041"/>
    <w:rsid w:val="0050199B"/>
    <w:rsid w:val="0051238B"/>
    <w:rsid w:val="00516B02"/>
    <w:rsid w:val="00531C1E"/>
    <w:rsid w:val="00533A0D"/>
    <w:rsid w:val="00535D93"/>
    <w:rsid w:val="005416DE"/>
    <w:rsid w:val="00546004"/>
    <w:rsid w:val="005468C5"/>
    <w:rsid w:val="00556158"/>
    <w:rsid w:val="00567240"/>
    <w:rsid w:val="005846D4"/>
    <w:rsid w:val="00586E90"/>
    <w:rsid w:val="00591AF9"/>
    <w:rsid w:val="00592290"/>
    <w:rsid w:val="00595C8B"/>
    <w:rsid w:val="005A1180"/>
    <w:rsid w:val="005A6DF5"/>
    <w:rsid w:val="005B2BD0"/>
    <w:rsid w:val="005B4381"/>
    <w:rsid w:val="005B5D97"/>
    <w:rsid w:val="005C3B6E"/>
    <w:rsid w:val="005D5181"/>
    <w:rsid w:val="005D733C"/>
    <w:rsid w:val="005E096E"/>
    <w:rsid w:val="005E350A"/>
    <w:rsid w:val="005F2047"/>
    <w:rsid w:val="005F34DD"/>
    <w:rsid w:val="00605B30"/>
    <w:rsid w:val="0060667F"/>
    <w:rsid w:val="006167BE"/>
    <w:rsid w:val="0062270F"/>
    <w:rsid w:val="0063082E"/>
    <w:rsid w:val="00631958"/>
    <w:rsid w:val="0063632E"/>
    <w:rsid w:val="00640846"/>
    <w:rsid w:val="00676A7B"/>
    <w:rsid w:val="00680728"/>
    <w:rsid w:val="00681492"/>
    <w:rsid w:val="00682066"/>
    <w:rsid w:val="006852DC"/>
    <w:rsid w:val="00695D85"/>
    <w:rsid w:val="006A2D8A"/>
    <w:rsid w:val="006A579D"/>
    <w:rsid w:val="006A5CB8"/>
    <w:rsid w:val="006A756D"/>
    <w:rsid w:val="006B09AA"/>
    <w:rsid w:val="006B0FDE"/>
    <w:rsid w:val="006B29EB"/>
    <w:rsid w:val="006D39E5"/>
    <w:rsid w:val="006D6065"/>
    <w:rsid w:val="006D699E"/>
    <w:rsid w:val="006E080E"/>
    <w:rsid w:val="006E0B69"/>
    <w:rsid w:val="006E4125"/>
    <w:rsid w:val="006E705F"/>
    <w:rsid w:val="006F0011"/>
    <w:rsid w:val="006F7765"/>
    <w:rsid w:val="0070395A"/>
    <w:rsid w:val="007069D1"/>
    <w:rsid w:val="007070AF"/>
    <w:rsid w:val="00707163"/>
    <w:rsid w:val="0071178E"/>
    <w:rsid w:val="00713515"/>
    <w:rsid w:val="00713566"/>
    <w:rsid w:val="007159C2"/>
    <w:rsid w:val="00721CED"/>
    <w:rsid w:val="00723672"/>
    <w:rsid w:val="007351BC"/>
    <w:rsid w:val="0074355C"/>
    <w:rsid w:val="007448C8"/>
    <w:rsid w:val="007632B9"/>
    <w:rsid w:val="007714D1"/>
    <w:rsid w:val="007813AD"/>
    <w:rsid w:val="007918C9"/>
    <w:rsid w:val="00793233"/>
    <w:rsid w:val="007A16B3"/>
    <w:rsid w:val="007B0AE8"/>
    <w:rsid w:val="007C1555"/>
    <w:rsid w:val="007D2584"/>
    <w:rsid w:val="007D5DCD"/>
    <w:rsid w:val="007D624C"/>
    <w:rsid w:val="007E613E"/>
    <w:rsid w:val="007F4626"/>
    <w:rsid w:val="007F4742"/>
    <w:rsid w:val="007F4A14"/>
    <w:rsid w:val="007F76C6"/>
    <w:rsid w:val="00800235"/>
    <w:rsid w:val="008008FF"/>
    <w:rsid w:val="00802EF3"/>
    <w:rsid w:val="00803133"/>
    <w:rsid w:val="00804895"/>
    <w:rsid w:val="00817A08"/>
    <w:rsid w:val="008228D0"/>
    <w:rsid w:val="0082335A"/>
    <w:rsid w:val="00825578"/>
    <w:rsid w:val="008466EB"/>
    <w:rsid w:val="00851C40"/>
    <w:rsid w:val="00851DE4"/>
    <w:rsid w:val="00852662"/>
    <w:rsid w:val="00871557"/>
    <w:rsid w:val="00875A21"/>
    <w:rsid w:val="008779E3"/>
    <w:rsid w:val="00882CDA"/>
    <w:rsid w:val="00892AB3"/>
    <w:rsid w:val="00893E09"/>
    <w:rsid w:val="00896747"/>
    <w:rsid w:val="008A3325"/>
    <w:rsid w:val="008B047B"/>
    <w:rsid w:val="008B39B2"/>
    <w:rsid w:val="008B413C"/>
    <w:rsid w:val="008B4566"/>
    <w:rsid w:val="008B780B"/>
    <w:rsid w:val="008C0FDE"/>
    <w:rsid w:val="008D1173"/>
    <w:rsid w:val="008D4CF3"/>
    <w:rsid w:val="008E0671"/>
    <w:rsid w:val="008E1C40"/>
    <w:rsid w:val="008F0B38"/>
    <w:rsid w:val="008F3FCB"/>
    <w:rsid w:val="008F7C49"/>
    <w:rsid w:val="00911EE8"/>
    <w:rsid w:val="00912114"/>
    <w:rsid w:val="00912D6B"/>
    <w:rsid w:val="00933C7F"/>
    <w:rsid w:val="00936FA4"/>
    <w:rsid w:val="00941BF0"/>
    <w:rsid w:val="00945272"/>
    <w:rsid w:val="00946D7D"/>
    <w:rsid w:val="00952D66"/>
    <w:rsid w:val="00953783"/>
    <w:rsid w:val="00957058"/>
    <w:rsid w:val="00961844"/>
    <w:rsid w:val="00964472"/>
    <w:rsid w:val="009714D5"/>
    <w:rsid w:val="00984F86"/>
    <w:rsid w:val="00992C4F"/>
    <w:rsid w:val="00995826"/>
    <w:rsid w:val="009A4CE4"/>
    <w:rsid w:val="009B2636"/>
    <w:rsid w:val="009B28CF"/>
    <w:rsid w:val="009B553A"/>
    <w:rsid w:val="009B6A52"/>
    <w:rsid w:val="009C1D8E"/>
    <w:rsid w:val="009C2AEE"/>
    <w:rsid w:val="009C7C3D"/>
    <w:rsid w:val="009D5A02"/>
    <w:rsid w:val="009F1929"/>
    <w:rsid w:val="009F37FD"/>
    <w:rsid w:val="009F39BD"/>
    <w:rsid w:val="009F5BF1"/>
    <w:rsid w:val="00A03F33"/>
    <w:rsid w:val="00A0406E"/>
    <w:rsid w:val="00A1346F"/>
    <w:rsid w:val="00A16A15"/>
    <w:rsid w:val="00A21E69"/>
    <w:rsid w:val="00A24677"/>
    <w:rsid w:val="00A254C6"/>
    <w:rsid w:val="00A46DC5"/>
    <w:rsid w:val="00A47EF0"/>
    <w:rsid w:val="00A50B2B"/>
    <w:rsid w:val="00A50CB0"/>
    <w:rsid w:val="00A5273A"/>
    <w:rsid w:val="00A63C8F"/>
    <w:rsid w:val="00A65043"/>
    <w:rsid w:val="00A66679"/>
    <w:rsid w:val="00A67780"/>
    <w:rsid w:val="00A70689"/>
    <w:rsid w:val="00A7126F"/>
    <w:rsid w:val="00A715DD"/>
    <w:rsid w:val="00A72F6E"/>
    <w:rsid w:val="00A7416E"/>
    <w:rsid w:val="00A74D01"/>
    <w:rsid w:val="00A7708A"/>
    <w:rsid w:val="00A77C0C"/>
    <w:rsid w:val="00A83473"/>
    <w:rsid w:val="00A869ED"/>
    <w:rsid w:val="00A91683"/>
    <w:rsid w:val="00A9575F"/>
    <w:rsid w:val="00A95E75"/>
    <w:rsid w:val="00AC026D"/>
    <w:rsid w:val="00AD0E42"/>
    <w:rsid w:val="00AD0EDF"/>
    <w:rsid w:val="00AD1D49"/>
    <w:rsid w:val="00AE0AC9"/>
    <w:rsid w:val="00AE374C"/>
    <w:rsid w:val="00AE7F51"/>
    <w:rsid w:val="00AF2379"/>
    <w:rsid w:val="00B00674"/>
    <w:rsid w:val="00B013D3"/>
    <w:rsid w:val="00B06E15"/>
    <w:rsid w:val="00B13930"/>
    <w:rsid w:val="00B14141"/>
    <w:rsid w:val="00B1531D"/>
    <w:rsid w:val="00B204D6"/>
    <w:rsid w:val="00B23765"/>
    <w:rsid w:val="00B30549"/>
    <w:rsid w:val="00B41A87"/>
    <w:rsid w:val="00B50960"/>
    <w:rsid w:val="00B54C9B"/>
    <w:rsid w:val="00B564F4"/>
    <w:rsid w:val="00B60D4A"/>
    <w:rsid w:val="00B61B3C"/>
    <w:rsid w:val="00B71042"/>
    <w:rsid w:val="00B71A09"/>
    <w:rsid w:val="00B83F48"/>
    <w:rsid w:val="00B8655F"/>
    <w:rsid w:val="00B90445"/>
    <w:rsid w:val="00B917DF"/>
    <w:rsid w:val="00B94C4C"/>
    <w:rsid w:val="00B973B7"/>
    <w:rsid w:val="00B97BEF"/>
    <w:rsid w:val="00BA5436"/>
    <w:rsid w:val="00BB2BB5"/>
    <w:rsid w:val="00BC2620"/>
    <w:rsid w:val="00BD0187"/>
    <w:rsid w:val="00BD0196"/>
    <w:rsid w:val="00BE6465"/>
    <w:rsid w:val="00BF6558"/>
    <w:rsid w:val="00BF7F19"/>
    <w:rsid w:val="00C0149C"/>
    <w:rsid w:val="00C02582"/>
    <w:rsid w:val="00C05827"/>
    <w:rsid w:val="00C106EB"/>
    <w:rsid w:val="00C22273"/>
    <w:rsid w:val="00C44394"/>
    <w:rsid w:val="00C54DE3"/>
    <w:rsid w:val="00C605AE"/>
    <w:rsid w:val="00C6218A"/>
    <w:rsid w:val="00C65CB7"/>
    <w:rsid w:val="00C673A9"/>
    <w:rsid w:val="00C75ADF"/>
    <w:rsid w:val="00C75D38"/>
    <w:rsid w:val="00C75E8B"/>
    <w:rsid w:val="00C76730"/>
    <w:rsid w:val="00C80865"/>
    <w:rsid w:val="00C8514C"/>
    <w:rsid w:val="00C8738A"/>
    <w:rsid w:val="00C87D46"/>
    <w:rsid w:val="00CA4B8C"/>
    <w:rsid w:val="00CA53CF"/>
    <w:rsid w:val="00CA6FD0"/>
    <w:rsid w:val="00CB3EA5"/>
    <w:rsid w:val="00CB3F24"/>
    <w:rsid w:val="00CB7E19"/>
    <w:rsid w:val="00CC210E"/>
    <w:rsid w:val="00CC44DD"/>
    <w:rsid w:val="00CC4BC7"/>
    <w:rsid w:val="00CD0938"/>
    <w:rsid w:val="00CD122F"/>
    <w:rsid w:val="00CD1EED"/>
    <w:rsid w:val="00CD234E"/>
    <w:rsid w:val="00CD3EE6"/>
    <w:rsid w:val="00CD4540"/>
    <w:rsid w:val="00CD5D1B"/>
    <w:rsid w:val="00CD67E2"/>
    <w:rsid w:val="00CE5F3D"/>
    <w:rsid w:val="00CF415F"/>
    <w:rsid w:val="00CF4BE1"/>
    <w:rsid w:val="00D0215C"/>
    <w:rsid w:val="00D02BF5"/>
    <w:rsid w:val="00D02C84"/>
    <w:rsid w:val="00D03863"/>
    <w:rsid w:val="00D04378"/>
    <w:rsid w:val="00D11D67"/>
    <w:rsid w:val="00D27BA2"/>
    <w:rsid w:val="00D31D17"/>
    <w:rsid w:val="00D34FBA"/>
    <w:rsid w:val="00D674B0"/>
    <w:rsid w:val="00D7229D"/>
    <w:rsid w:val="00D7291D"/>
    <w:rsid w:val="00D73EC5"/>
    <w:rsid w:val="00D73EDC"/>
    <w:rsid w:val="00D74925"/>
    <w:rsid w:val="00D800CF"/>
    <w:rsid w:val="00DA0064"/>
    <w:rsid w:val="00DA1129"/>
    <w:rsid w:val="00DB21BD"/>
    <w:rsid w:val="00DC2CD3"/>
    <w:rsid w:val="00DD7EC2"/>
    <w:rsid w:val="00DE1D43"/>
    <w:rsid w:val="00DE576F"/>
    <w:rsid w:val="00DE59D2"/>
    <w:rsid w:val="00DE78D5"/>
    <w:rsid w:val="00DF6954"/>
    <w:rsid w:val="00DF712C"/>
    <w:rsid w:val="00E0229F"/>
    <w:rsid w:val="00E02B70"/>
    <w:rsid w:val="00E14BF5"/>
    <w:rsid w:val="00E15E98"/>
    <w:rsid w:val="00E16155"/>
    <w:rsid w:val="00E21DBE"/>
    <w:rsid w:val="00E4097B"/>
    <w:rsid w:val="00E432E4"/>
    <w:rsid w:val="00E46046"/>
    <w:rsid w:val="00E46BED"/>
    <w:rsid w:val="00E50093"/>
    <w:rsid w:val="00E53651"/>
    <w:rsid w:val="00E556EB"/>
    <w:rsid w:val="00E566BE"/>
    <w:rsid w:val="00E56B2E"/>
    <w:rsid w:val="00E718B6"/>
    <w:rsid w:val="00E82205"/>
    <w:rsid w:val="00E82B25"/>
    <w:rsid w:val="00E860FD"/>
    <w:rsid w:val="00E94244"/>
    <w:rsid w:val="00EA40B4"/>
    <w:rsid w:val="00EA42C4"/>
    <w:rsid w:val="00EA7910"/>
    <w:rsid w:val="00EB0A32"/>
    <w:rsid w:val="00EC4569"/>
    <w:rsid w:val="00EC51F8"/>
    <w:rsid w:val="00ED5BF0"/>
    <w:rsid w:val="00EE5482"/>
    <w:rsid w:val="00EE7D5E"/>
    <w:rsid w:val="00F05D1A"/>
    <w:rsid w:val="00F07263"/>
    <w:rsid w:val="00F07932"/>
    <w:rsid w:val="00F11F4F"/>
    <w:rsid w:val="00F263B6"/>
    <w:rsid w:val="00F27FA4"/>
    <w:rsid w:val="00F301A9"/>
    <w:rsid w:val="00F358FD"/>
    <w:rsid w:val="00F41E7B"/>
    <w:rsid w:val="00F54661"/>
    <w:rsid w:val="00F64460"/>
    <w:rsid w:val="00F65C9E"/>
    <w:rsid w:val="00F66DB6"/>
    <w:rsid w:val="00F7725D"/>
    <w:rsid w:val="00F820BB"/>
    <w:rsid w:val="00F8385F"/>
    <w:rsid w:val="00F848DE"/>
    <w:rsid w:val="00F85FA3"/>
    <w:rsid w:val="00F926DB"/>
    <w:rsid w:val="00FA227B"/>
    <w:rsid w:val="00FA488C"/>
    <w:rsid w:val="00FB5168"/>
    <w:rsid w:val="00FB7BF9"/>
    <w:rsid w:val="00FC4F78"/>
    <w:rsid w:val="00FC599B"/>
    <w:rsid w:val="00FC5F1B"/>
    <w:rsid w:val="00FD13D0"/>
    <w:rsid w:val="00FE5ADB"/>
    <w:rsid w:val="00FF28A4"/>
    <w:rsid w:val="00FF4323"/>
    <w:rsid w:val="3BF3BE7D"/>
    <w:rsid w:val="5A5B6613"/>
    <w:rsid w:val="5A72FAD9"/>
    <w:rsid w:val="5D3E68A6"/>
    <w:rsid w:val="61C5F26E"/>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9A94A"/>
  <w14:defaultImageDpi w14:val="32767"/>
  <w15:chartTrackingRefBased/>
  <w15:docId w15:val="{0C0547B9-1F6E-4ECA-92B9-88E5172D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3A9"/>
    <w:pPr>
      <w:spacing w:after="260" w:line="260" w:lineRule="atLeast"/>
    </w:pPr>
    <w:rPr>
      <w:sz w:val="20"/>
    </w:rPr>
  </w:style>
  <w:style w:type="paragraph" w:styleId="Overskrift1">
    <w:name w:val="heading 1"/>
    <w:basedOn w:val="Normal"/>
    <w:next w:val="Normal"/>
    <w:link w:val="Overskrift1Tegn"/>
    <w:uiPriority w:val="9"/>
    <w:qFormat/>
    <w:rsid w:val="00535D93"/>
    <w:pPr>
      <w:keepNext/>
      <w:keepLines/>
      <w:pageBreakBefore/>
      <w:numPr>
        <w:numId w:val="1"/>
      </w:numPr>
      <w:spacing w:line="480" w:lineRule="atLeast"/>
      <w:jc w:val="center"/>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9D5A02"/>
    <w:pPr>
      <w:keepNext/>
      <w:keepLines/>
      <w:numPr>
        <w:ilvl w:val="1"/>
        <w:numId w:val="1"/>
      </w:numPr>
      <w:spacing w:before="26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5D93"/>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9D5A02"/>
    <w:rPr>
      <w:rFonts w:asciiTheme="majorHAnsi" w:eastAsiaTheme="majorEastAsia" w:hAnsiTheme="majorHAnsi" w:cstheme="majorBidi"/>
      <w:b/>
      <w:sz w:val="20"/>
      <w:szCs w:val="26"/>
    </w:rPr>
  </w:style>
  <w:style w:type="paragraph" w:customStyle="1" w:styleId="Ingress">
    <w:name w:val="Ingress"/>
    <w:basedOn w:val="Normal"/>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9D5A02"/>
    <w:pPr>
      <w:tabs>
        <w:tab w:val="left" w:pos="1701"/>
        <w:tab w:val="right" w:pos="8494"/>
      </w:tabs>
      <w:spacing w:before="260" w:after="0" w:line="320" w:lineRule="atLeast"/>
      <w:ind w:left="1701" w:hanging="567"/>
    </w:pPr>
    <w:rPr>
      <w:b/>
      <w:sz w:val="24"/>
    </w:rPr>
  </w:style>
  <w:style w:type="paragraph" w:styleId="INNH2">
    <w:name w:val="toc 2"/>
    <w:basedOn w:val="Normal"/>
    <w:next w:val="Normal"/>
    <w:autoRedefine/>
    <w:uiPriority w:val="39"/>
    <w:unhideWhenUsed/>
    <w:rsid w:val="009D5A02"/>
    <w:pPr>
      <w:spacing w:after="0" w:line="320" w:lineRule="atLeast"/>
      <w:ind w:left="2268" w:hanging="567"/>
    </w:pPr>
    <w:rPr>
      <w:sz w:val="24"/>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table" w:customStyle="1" w:styleId="Rutenettabell2uthevingsfarge21">
    <w:name w:val="Rutenettabell 2 – uthevingsfarge 21"/>
    <w:basedOn w:val="Vanligtabell"/>
    <w:next w:val="Rutenettabell2uthevingsfarge2"/>
    <w:uiPriority w:val="47"/>
    <w:rsid w:val="00E56B2E"/>
    <w:pPr>
      <w:spacing w:after="0" w:line="240" w:lineRule="auto"/>
    </w:pPr>
    <w:rPr>
      <w:rFonts w:eastAsia="DengXia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Rutenettabell2uthevingsfarge2">
    <w:name w:val="Grid Table 2 Accent 2"/>
    <w:basedOn w:val="Vanligtabell"/>
    <w:uiPriority w:val="47"/>
    <w:rsid w:val="00E56B2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rutenett1">
    <w:name w:val="Tabellrutenett1"/>
    <w:basedOn w:val="Vanligtabell"/>
    <w:next w:val="Tabellrutenett"/>
    <w:uiPriority w:val="39"/>
    <w:rsid w:val="00E56B2E"/>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E56B2E"/>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3uthevingsfarge51">
    <w:name w:val="Listetabell 3 – uthevingsfarge 51"/>
    <w:basedOn w:val="Vanligtabell"/>
    <w:next w:val="Listetabell3uthevingsfarge5"/>
    <w:uiPriority w:val="48"/>
    <w:rsid w:val="00F41E7B"/>
    <w:pPr>
      <w:spacing w:after="0" w:line="240" w:lineRule="auto"/>
    </w:pPr>
    <w:rPr>
      <w:rFonts w:eastAsia="DengXia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etabell3uthevingsfarge5">
    <w:name w:val="List Table 3 Accent 5"/>
    <w:basedOn w:val="Vanligtabell"/>
    <w:uiPriority w:val="48"/>
    <w:rsid w:val="00F41E7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Fotnotetekst">
    <w:name w:val="footnote text"/>
    <w:basedOn w:val="Normal"/>
    <w:link w:val="FotnotetekstTegn"/>
    <w:uiPriority w:val="99"/>
    <w:unhideWhenUsed/>
    <w:rsid w:val="002E0C2B"/>
    <w:pPr>
      <w:spacing w:after="0" w:line="240" w:lineRule="auto"/>
    </w:pPr>
    <w:rPr>
      <w:szCs w:val="20"/>
    </w:rPr>
  </w:style>
  <w:style w:type="character" w:customStyle="1" w:styleId="FotnotetekstTegn">
    <w:name w:val="Fotnotetekst Tegn"/>
    <w:basedOn w:val="Standardskriftforavsnitt"/>
    <w:link w:val="Fotnotetekst"/>
    <w:uiPriority w:val="99"/>
    <w:rsid w:val="002E0C2B"/>
    <w:rPr>
      <w:sz w:val="20"/>
      <w:szCs w:val="20"/>
    </w:rPr>
  </w:style>
  <w:style w:type="character" w:styleId="Fotnotereferanse">
    <w:name w:val="footnote reference"/>
    <w:basedOn w:val="Standardskriftforavsnitt"/>
    <w:uiPriority w:val="99"/>
    <w:rsid w:val="002E0C2B"/>
    <w:rPr>
      <w:vertAlign w:val="superscript"/>
    </w:rPr>
  </w:style>
  <w:style w:type="paragraph" w:customStyle="1" w:styleId="Mellomtittel">
    <w:name w:val="Mellomtittel"/>
    <w:basedOn w:val="Normal"/>
    <w:next w:val="Normal"/>
    <w:qFormat/>
    <w:rsid w:val="00723672"/>
    <w:pPr>
      <w:shd w:val="clear" w:color="auto" w:fill="FFFFFF"/>
      <w:spacing w:before="240" w:after="120" w:line="240" w:lineRule="auto"/>
      <w:jc w:val="both"/>
    </w:pPr>
    <w:rPr>
      <w:rFonts w:ascii="Open Sans" w:eastAsia="Times New Roman" w:hAnsi="Open Sans" w:cs="Open Sans"/>
      <w:b/>
      <w:color w:val="000000"/>
      <w:sz w:val="21"/>
      <w:szCs w:val="21"/>
      <w:lang w:eastAsia="nb-NO"/>
    </w:rPr>
  </w:style>
  <w:style w:type="paragraph" w:styleId="Brdtekst">
    <w:name w:val="Body Text"/>
    <w:basedOn w:val="Normal"/>
    <w:link w:val="BrdtekstTegn"/>
    <w:rsid w:val="008E1C40"/>
    <w:pPr>
      <w:spacing w:after="120" w:line="240" w:lineRule="auto"/>
    </w:pPr>
    <w:rPr>
      <w:rFonts w:ascii="Times New Roman" w:eastAsia="Times New Roman" w:hAnsi="Times New Roman" w:cs="Times New Roman"/>
      <w:sz w:val="24"/>
      <w:szCs w:val="24"/>
      <w:lang w:eastAsia="nb-NO"/>
    </w:rPr>
  </w:style>
  <w:style w:type="character" w:customStyle="1" w:styleId="BrdtekstTegn">
    <w:name w:val="Brødtekst Tegn"/>
    <w:basedOn w:val="Standardskriftforavsnitt"/>
    <w:link w:val="Brdtekst"/>
    <w:rsid w:val="008E1C40"/>
    <w:rPr>
      <w:rFonts w:ascii="Times New Roman" w:eastAsia="Times New Roman" w:hAnsi="Times New Roman" w:cs="Times New Roman"/>
      <w:sz w:val="24"/>
      <w:szCs w:val="24"/>
      <w:lang w:eastAsia="nb-NO"/>
    </w:rPr>
  </w:style>
  <w:style w:type="character" w:styleId="Merknadsreferanse">
    <w:name w:val="annotation reference"/>
    <w:basedOn w:val="Standardskriftforavsnitt"/>
    <w:rsid w:val="008E1C40"/>
    <w:rPr>
      <w:sz w:val="16"/>
      <w:szCs w:val="16"/>
    </w:rPr>
  </w:style>
  <w:style w:type="paragraph" w:styleId="Merknadstekst">
    <w:name w:val="annotation text"/>
    <w:basedOn w:val="Normal"/>
    <w:link w:val="MerknadstekstTegn"/>
    <w:rsid w:val="008E1C40"/>
    <w:pPr>
      <w:spacing w:after="0" w:line="240" w:lineRule="auto"/>
    </w:pPr>
    <w:rPr>
      <w:rFonts w:ascii="Times New Roman" w:eastAsia="Times New Roman" w:hAnsi="Times New Roman" w:cs="Times New Roman"/>
      <w:szCs w:val="20"/>
      <w:lang w:eastAsia="nb-NO"/>
    </w:rPr>
  </w:style>
  <w:style w:type="character" w:customStyle="1" w:styleId="MerknadstekstTegn">
    <w:name w:val="Merknadstekst Tegn"/>
    <w:basedOn w:val="Standardskriftforavsnitt"/>
    <w:link w:val="Merknadstekst"/>
    <w:rsid w:val="008E1C40"/>
    <w:rPr>
      <w:rFonts w:ascii="Times New Roman" w:eastAsia="Times New Roman" w:hAnsi="Times New Roman" w:cs="Times New Roman"/>
      <w:sz w:val="20"/>
      <w:szCs w:val="20"/>
      <w:lang w:eastAsia="nb-NO"/>
    </w:rPr>
  </w:style>
  <w:style w:type="paragraph" w:styleId="Revisjon">
    <w:name w:val="Revision"/>
    <w:hidden/>
    <w:uiPriority w:val="99"/>
    <w:semiHidden/>
    <w:rsid w:val="00BB2BB5"/>
    <w:pPr>
      <w:spacing w:after="0" w:line="240" w:lineRule="auto"/>
    </w:pPr>
    <w:rPr>
      <w:sz w:val="20"/>
    </w:rPr>
  </w:style>
  <w:style w:type="paragraph" w:styleId="Kommentaremne">
    <w:name w:val="annotation subject"/>
    <w:basedOn w:val="Merknadstekst"/>
    <w:next w:val="Merknadstekst"/>
    <w:link w:val="KommentaremneTegn"/>
    <w:uiPriority w:val="99"/>
    <w:semiHidden/>
    <w:unhideWhenUsed/>
    <w:rsid w:val="000F3BA9"/>
    <w:pPr>
      <w:spacing w:after="260"/>
    </w:pPr>
    <w:rPr>
      <w:rFonts w:asciiTheme="minorHAnsi" w:eastAsiaTheme="minorHAnsi" w:hAnsiTheme="minorHAnsi" w:cstheme="minorBidi"/>
      <w:b/>
      <w:bCs/>
      <w:lang w:eastAsia="en-US"/>
    </w:rPr>
  </w:style>
  <w:style w:type="character" w:customStyle="1" w:styleId="KommentaremneTegn">
    <w:name w:val="Kommentaremne Tegn"/>
    <w:basedOn w:val="MerknadstekstTegn"/>
    <w:link w:val="Kommentaremne"/>
    <w:uiPriority w:val="99"/>
    <w:semiHidden/>
    <w:rsid w:val="000F3BA9"/>
    <w:rPr>
      <w:rFonts w:ascii="Times New Roman" w:eastAsia="Times New Roman" w:hAnsi="Times New Roman" w:cs="Times New Roman"/>
      <w:b/>
      <w:bCs/>
      <w:sz w:val="20"/>
      <w:szCs w:val="20"/>
      <w:lang w:eastAsia="nb-NO"/>
    </w:rPr>
  </w:style>
  <w:style w:type="character" w:styleId="Fulgthyperkobling">
    <w:name w:val="FollowedHyperlink"/>
    <w:basedOn w:val="Standardskriftforavsnitt"/>
    <w:uiPriority w:val="99"/>
    <w:semiHidden/>
    <w:unhideWhenUsed/>
    <w:rsid w:val="007D5DCD"/>
    <w:rPr>
      <w:color w:val="954F72" w:themeColor="followedHyperlink"/>
      <w:u w:val="single"/>
    </w:rPr>
  </w:style>
  <w:style w:type="paragraph" w:styleId="Listeavsnitt">
    <w:name w:val="List Paragraph"/>
    <w:basedOn w:val="Normal"/>
    <w:uiPriority w:val="34"/>
    <w:qFormat/>
    <w:rsid w:val="00BC2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105">
      <w:bodyDiv w:val="1"/>
      <w:marLeft w:val="0"/>
      <w:marRight w:val="0"/>
      <w:marTop w:val="0"/>
      <w:marBottom w:val="0"/>
      <w:divBdr>
        <w:top w:val="none" w:sz="0" w:space="0" w:color="auto"/>
        <w:left w:val="none" w:sz="0" w:space="0" w:color="auto"/>
        <w:bottom w:val="none" w:sz="0" w:space="0" w:color="auto"/>
        <w:right w:val="none" w:sz="0" w:space="0" w:color="auto"/>
      </w:divBdr>
    </w:div>
    <w:div w:id="54738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png"/><Relationship Id="rId26" Type="http://schemas.openxmlformats.org/officeDocument/2006/relationships/header" Target="header1.xml"/><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image" Target="media/image14.emf"/><Relationship Id="rId47" Type="http://schemas.openxmlformats.org/officeDocument/2006/relationships/image" Target="media/image15.png"/><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image" Target="media/image12.emf"/><Relationship Id="rId46"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hyperlink" Target="https://www.samfunnsokonomisk-analyse.no/rapporter/2019/5/2/r8-2019-hvordan-br-sentrale-mekanismer-i-den-norske-modellen-reflekteres-i-makrokonomiske-modeller" TargetMode="External"/><Relationship Id="rId20" Type="http://schemas.openxmlformats.org/officeDocument/2006/relationships/image" Target="media/image6.png"/><Relationship Id="rId29" Type="http://schemas.openxmlformats.org/officeDocument/2006/relationships/chart" Target="charts/chart3.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3.emf"/><Relationship Id="rId45" Type="http://schemas.openxmlformats.org/officeDocument/2006/relationships/chart" Target="charts/chart13.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amfunnsokonomisk-analyse.no/rapporter/2019/5/2/r8-2019-hvordan-br-sentrale-mekanismer-i-den-norske-modellen-reflekteres-i-makrokonomiske-modeller" TargetMode="External"/><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http://www.lo.no"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5.xml"/><Relationship Id="rId44" Type="http://schemas.openxmlformats.org/officeDocument/2006/relationships/chart" Target="charts/chart12.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oleObject" Target="embeddings/oleObject3.bin"/><Relationship Id="rId48" Type="http://schemas.openxmlformats.org/officeDocument/2006/relationships/image" Target="media/image16.svg"/><Relationship Id="rId8" Type="http://schemas.openxmlformats.org/officeDocument/2006/relationships/settings" Target="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ono.sharepoint.com/sites/Samfunnspolitiskavdeling/Delte%20dokumenter/Liv%20Anna/Bolig/Prisindeks%20sesong_nominell%20-%20Mar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t>Arbeidsledige i prosent av arbeidsstyrken (AKU), 15-74 år, sesongjustert</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Arbeidsledige i prosent av arbeidsstyrken (AKU), sesongjustert</c:v>
                </c:pt>
              </c:strCache>
            </c:strRef>
          </c:tx>
          <c:spPr>
            <a:ln w="28575" cap="rnd">
              <a:solidFill>
                <a:schemeClr val="accent1"/>
              </a:solidFill>
              <a:round/>
            </a:ln>
            <a:effectLst/>
          </c:spPr>
          <c:marker>
            <c:symbol val="none"/>
          </c:marker>
          <c:cat>
            <c:strRef>
              <c:f>'Ark1'!$A$2:$A$183</c:f>
              <c:strCache>
                <c:ptCount val="182"/>
                <c:pt idx="0">
                  <c:v>2007M01</c:v>
                </c:pt>
                <c:pt idx="1">
                  <c:v>2007M02</c:v>
                </c:pt>
                <c:pt idx="2">
                  <c:v>2007M03</c:v>
                </c:pt>
                <c:pt idx="3">
                  <c:v>2007M04</c:v>
                </c:pt>
                <c:pt idx="4">
                  <c:v>2007M05</c:v>
                </c:pt>
                <c:pt idx="5">
                  <c:v>2007M06</c:v>
                </c:pt>
                <c:pt idx="6">
                  <c:v>2007M07</c:v>
                </c:pt>
                <c:pt idx="7">
                  <c:v>2007M08</c:v>
                </c:pt>
                <c:pt idx="8">
                  <c:v>2007M09</c:v>
                </c:pt>
                <c:pt idx="9">
                  <c:v>2007M10</c:v>
                </c:pt>
                <c:pt idx="10">
                  <c:v>2007M11</c:v>
                </c:pt>
                <c:pt idx="11">
                  <c:v>2007M12</c:v>
                </c:pt>
                <c:pt idx="12">
                  <c:v>2008M01</c:v>
                </c:pt>
                <c:pt idx="13">
                  <c:v>2008M02</c:v>
                </c:pt>
                <c:pt idx="14">
                  <c:v>2008M03</c:v>
                </c:pt>
                <c:pt idx="15">
                  <c:v>2008M04</c:v>
                </c:pt>
                <c:pt idx="16">
                  <c:v>2008M05</c:v>
                </c:pt>
                <c:pt idx="17">
                  <c:v>2008M06</c:v>
                </c:pt>
                <c:pt idx="18">
                  <c:v>2008M07</c:v>
                </c:pt>
                <c:pt idx="19">
                  <c:v>2008M08</c:v>
                </c:pt>
                <c:pt idx="20">
                  <c:v>2008M09</c:v>
                </c:pt>
                <c:pt idx="21">
                  <c:v>2008M10</c:v>
                </c:pt>
                <c:pt idx="22">
                  <c:v>2008M11</c:v>
                </c:pt>
                <c:pt idx="23">
                  <c:v>2008M12</c:v>
                </c:pt>
                <c:pt idx="24">
                  <c:v>2009M01</c:v>
                </c:pt>
                <c:pt idx="25">
                  <c:v>2009M02</c:v>
                </c:pt>
                <c:pt idx="26">
                  <c:v>2009M03</c:v>
                </c:pt>
                <c:pt idx="27">
                  <c:v>2009M04</c:v>
                </c:pt>
                <c:pt idx="28">
                  <c:v>2009M05</c:v>
                </c:pt>
                <c:pt idx="29">
                  <c:v>2009M06</c:v>
                </c:pt>
                <c:pt idx="30">
                  <c:v>2009M07</c:v>
                </c:pt>
                <c:pt idx="31">
                  <c:v>2009M08</c:v>
                </c:pt>
                <c:pt idx="32">
                  <c:v>2009M09</c:v>
                </c:pt>
                <c:pt idx="33">
                  <c:v>2009M10</c:v>
                </c:pt>
                <c:pt idx="34">
                  <c:v>2009M11</c:v>
                </c:pt>
                <c:pt idx="35">
                  <c:v>2009M12</c:v>
                </c:pt>
                <c:pt idx="36">
                  <c:v>2010M01</c:v>
                </c:pt>
                <c:pt idx="37">
                  <c:v>2010M02</c:v>
                </c:pt>
                <c:pt idx="38">
                  <c:v>2010M03</c:v>
                </c:pt>
                <c:pt idx="39">
                  <c:v>2010M04</c:v>
                </c:pt>
                <c:pt idx="40">
                  <c:v>2010M05</c:v>
                </c:pt>
                <c:pt idx="41">
                  <c:v>2010M06</c:v>
                </c:pt>
                <c:pt idx="42">
                  <c:v>2010M07</c:v>
                </c:pt>
                <c:pt idx="43">
                  <c:v>2010M08</c:v>
                </c:pt>
                <c:pt idx="44">
                  <c:v>2010M09</c:v>
                </c:pt>
                <c:pt idx="45">
                  <c:v>2010M10</c:v>
                </c:pt>
                <c:pt idx="46">
                  <c:v>2010M11</c:v>
                </c:pt>
                <c:pt idx="47">
                  <c:v>2010M12</c:v>
                </c:pt>
                <c:pt idx="48">
                  <c:v>2011M01</c:v>
                </c:pt>
                <c:pt idx="49">
                  <c:v>2011M02</c:v>
                </c:pt>
                <c:pt idx="50">
                  <c:v>2011M03</c:v>
                </c:pt>
                <c:pt idx="51">
                  <c:v>2011M04</c:v>
                </c:pt>
                <c:pt idx="52">
                  <c:v>2011M05</c:v>
                </c:pt>
                <c:pt idx="53">
                  <c:v>2011M06</c:v>
                </c:pt>
                <c:pt idx="54">
                  <c:v>2011M07</c:v>
                </c:pt>
                <c:pt idx="55">
                  <c:v>2011M08</c:v>
                </c:pt>
                <c:pt idx="56">
                  <c:v>2011M09</c:v>
                </c:pt>
                <c:pt idx="57">
                  <c:v>2011M10</c:v>
                </c:pt>
                <c:pt idx="58">
                  <c:v>2011M11</c:v>
                </c:pt>
                <c:pt idx="59">
                  <c:v>2011M12</c:v>
                </c:pt>
                <c:pt idx="60">
                  <c:v>2012M01</c:v>
                </c:pt>
                <c:pt idx="61">
                  <c:v>2012M02</c:v>
                </c:pt>
                <c:pt idx="62">
                  <c:v>2012M03</c:v>
                </c:pt>
                <c:pt idx="63">
                  <c:v>2012M04</c:v>
                </c:pt>
                <c:pt idx="64">
                  <c:v>2012M05</c:v>
                </c:pt>
                <c:pt idx="65">
                  <c:v>2012M06</c:v>
                </c:pt>
                <c:pt idx="66">
                  <c:v>2012M07</c:v>
                </c:pt>
                <c:pt idx="67">
                  <c:v>2012M08</c:v>
                </c:pt>
                <c:pt idx="68">
                  <c:v>2012M09</c:v>
                </c:pt>
                <c:pt idx="69">
                  <c:v>2012M10</c:v>
                </c:pt>
                <c:pt idx="70">
                  <c:v>2012M11</c:v>
                </c:pt>
                <c:pt idx="71">
                  <c:v>2012M12</c:v>
                </c:pt>
                <c:pt idx="72">
                  <c:v>2013M01</c:v>
                </c:pt>
                <c:pt idx="73">
                  <c:v>2013M02</c:v>
                </c:pt>
                <c:pt idx="74">
                  <c:v>2013M03</c:v>
                </c:pt>
                <c:pt idx="75">
                  <c:v>2013M04</c:v>
                </c:pt>
                <c:pt idx="76">
                  <c:v>2013M05</c:v>
                </c:pt>
                <c:pt idx="77">
                  <c:v>2013M06</c:v>
                </c:pt>
                <c:pt idx="78">
                  <c:v>2013M07</c:v>
                </c:pt>
                <c:pt idx="79">
                  <c:v>2013M08</c:v>
                </c:pt>
                <c:pt idx="80">
                  <c:v>2013M09</c:v>
                </c:pt>
                <c:pt idx="81">
                  <c:v>2013M10</c:v>
                </c:pt>
                <c:pt idx="82">
                  <c:v>2013M11</c:v>
                </c:pt>
                <c:pt idx="83">
                  <c:v>2013M12</c:v>
                </c:pt>
                <c:pt idx="84">
                  <c:v>2014M01</c:v>
                </c:pt>
                <c:pt idx="85">
                  <c:v>2014M02</c:v>
                </c:pt>
                <c:pt idx="86">
                  <c:v>2014M03</c:v>
                </c:pt>
                <c:pt idx="87">
                  <c:v>2014M04</c:v>
                </c:pt>
                <c:pt idx="88">
                  <c:v>2014M05</c:v>
                </c:pt>
                <c:pt idx="89">
                  <c:v>2014M06</c:v>
                </c:pt>
                <c:pt idx="90">
                  <c:v>2014M07</c:v>
                </c:pt>
                <c:pt idx="91">
                  <c:v>2014M08</c:v>
                </c:pt>
                <c:pt idx="92">
                  <c:v>2014M09</c:v>
                </c:pt>
                <c:pt idx="93">
                  <c:v>2014M10</c:v>
                </c:pt>
                <c:pt idx="94">
                  <c:v>2014M11</c:v>
                </c:pt>
                <c:pt idx="95">
                  <c:v>2014M12</c:v>
                </c:pt>
                <c:pt idx="96">
                  <c:v>2015M01</c:v>
                </c:pt>
                <c:pt idx="97">
                  <c:v>2015M02</c:v>
                </c:pt>
                <c:pt idx="98">
                  <c:v>2015M03</c:v>
                </c:pt>
                <c:pt idx="99">
                  <c:v>2015M04</c:v>
                </c:pt>
                <c:pt idx="100">
                  <c:v>2015M05</c:v>
                </c:pt>
                <c:pt idx="101">
                  <c:v>2015M06</c:v>
                </c:pt>
                <c:pt idx="102">
                  <c:v>2015M07</c:v>
                </c:pt>
                <c:pt idx="103">
                  <c:v>2015M08</c:v>
                </c:pt>
                <c:pt idx="104">
                  <c:v>2015M09</c:v>
                </c:pt>
                <c:pt idx="105">
                  <c:v>2015M10</c:v>
                </c:pt>
                <c:pt idx="106">
                  <c:v>2015M11</c:v>
                </c:pt>
                <c:pt idx="107">
                  <c:v>2015M12</c:v>
                </c:pt>
                <c:pt idx="108">
                  <c:v>2016M01</c:v>
                </c:pt>
                <c:pt idx="109">
                  <c:v>2016M02</c:v>
                </c:pt>
                <c:pt idx="110">
                  <c:v>2016M03</c:v>
                </c:pt>
                <c:pt idx="111">
                  <c:v>2016M04</c:v>
                </c:pt>
                <c:pt idx="112">
                  <c:v>2016M05</c:v>
                </c:pt>
                <c:pt idx="113">
                  <c:v>2016M06</c:v>
                </c:pt>
                <c:pt idx="114">
                  <c:v>2016M07</c:v>
                </c:pt>
                <c:pt idx="115">
                  <c:v>2016M08</c:v>
                </c:pt>
                <c:pt idx="116">
                  <c:v>2016M09</c:v>
                </c:pt>
                <c:pt idx="117">
                  <c:v>2016M10</c:v>
                </c:pt>
                <c:pt idx="118">
                  <c:v>2016M11</c:v>
                </c:pt>
                <c:pt idx="119">
                  <c:v>2016M12</c:v>
                </c:pt>
                <c:pt idx="120">
                  <c:v>2017M01</c:v>
                </c:pt>
                <c:pt idx="121">
                  <c:v>2017M02</c:v>
                </c:pt>
                <c:pt idx="122">
                  <c:v>2017M03</c:v>
                </c:pt>
                <c:pt idx="123">
                  <c:v>2017M04</c:v>
                </c:pt>
                <c:pt idx="124">
                  <c:v>2017M05</c:v>
                </c:pt>
                <c:pt idx="125">
                  <c:v>2017M06</c:v>
                </c:pt>
                <c:pt idx="126">
                  <c:v>2017M07</c:v>
                </c:pt>
                <c:pt idx="127">
                  <c:v>2017M08</c:v>
                </c:pt>
                <c:pt idx="128">
                  <c:v>2017M09</c:v>
                </c:pt>
                <c:pt idx="129">
                  <c:v>2017M10</c:v>
                </c:pt>
                <c:pt idx="130">
                  <c:v>2017M11</c:v>
                </c:pt>
                <c:pt idx="131">
                  <c:v>2017M12</c:v>
                </c:pt>
                <c:pt idx="132">
                  <c:v>2018M01</c:v>
                </c:pt>
                <c:pt idx="133">
                  <c:v>2018M02</c:v>
                </c:pt>
                <c:pt idx="134">
                  <c:v>2018M03</c:v>
                </c:pt>
                <c:pt idx="135">
                  <c:v>2018M04</c:v>
                </c:pt>
                <c:pt idx="136">
                  <c:v>2018M05</c:v>
                </c:pt>
                <c:pt idx="137">
                  <c:v>2018M06</c:v>
                </c:pt>
                <c:pt idx="138">
                  <c:v>2018M07</c:v>
                </c:pt>
                <c:pt idx="139">
                  <c:v>2018M08</c:v>
                </c:pt>
                <c:pt idx="140">
                  <c:v>2018M09</c:v>
                </c:pt>
                <c:pt idx="141">
                  <c:v>2018M10</c:v>
                </c:pt>
                <c:pt idx="142">
                  <c:v>2018M11</c:v>
                </c:pt>
                <c:pt idx="143">
                  <c:v>2018M12</c:v>
                </c:pt>
                <c:pt idx="144">
                  <c:v>2019M01</c:v>
                </c:pt>
                <c:pt idx="145">
                  <c:v>2019M02</c:v>
                </c:pt>
                <c:pt idx="146">
                  <c:v>2019M03</c:v>
                </c:pt>
                <c:pt idx="147">
                  <c:v>2019M04</c:v>
                </c:pt>
                <c:pt idx="148">
                  <c:v>2019M05</c:v>
                </c:pt>
                <c:pt idx="149">
                  <c:v>2019M06</c:v>
                </c:pt>
                <c:pt idx="150">
                  <c:v>2019M07</c:v>
                </c:pt>
                <c:pt idx="151">
                  <c:v>2019M08</c:v>
                </c:pt>
                <c:pt idx="152">
                  <c:v>2019M09</c:v>
                </c:pt>
                <c:pt idx="153">
                  <c:v>2019M10</c:v>
                </c:pt>
                <c:pt idx="154">
                  <c:v>2019M11</c:v>
                </c:pt>
                <c:pt idx="155">
                  <c:v>2019M12</c:v>
                </c:pt>
                <c:pt idx="156">
                  <c:v>2020M01</c:v>
                </c:pt>
                <c:pt idx="157">
                  <c:v>2020M02</c:v>
                </c:pt>
                <c:pt idx="158">
                  <c:v>2020M03</c:v>
                </c:pt>
                <c:pt idx="159">
                  <c:v>2020M04</c:v>
                </c:pt>
                <c:pt idx="160">
                  <c:v>2020M05</c:v>
                </c:pt>
                <c:pt idx="161">
                  <c:v>2020M06</c:v>
                </c:pt>
                <c:pt idx="162">
                  <c:v>2020M07</c:v>
                </c:pt>
                <c:pt idx="163">
                  <c:v>2020M08</c:v>
                </c:pt>
                <c:pt idx="164">
                  <c:v>2020M09</c:v>
                </c:pt>
                <c:pt idx="165">
                  <c:v>2020M10</c:v>
                </c:pt>
                <c:pt idx="166">
                  <c:v>2020M11</c:v>
                </c:pt>
                <c:pt idx="167">
                  <c:v>2020M12</c:v>
                </c:pt>
                <c:pt idx="168">
                  <c:v>2021M01</c:v>
                </c:pt>
                <c:pt idx="169">
                  <c:v>2021M02</c:v>
                </c:pt>
                <c:pt idx="170">
                  <c:v>2021M03</c:v>
                </c:pt>
                <c:pt idx="171">
                  <c:v>2021M04</c:v>
                </c:pt>
                <c:pt idx="172">
                  <c:v>2021M05</c:v>
                </c:pt>
                <c:pt idx="173">
                  <c:v>2021M06</c:v>
                </c:pt>
                <c:pt idx="174">
                  <c:v>2021M07</c:v>
                </c:pt>
                <c:pt idx="175">
                  <c:v>2021M08</c:v>
                </c:pt>
                <c:pt idx="176">
                  <c:v>2021M09</c:v>
                </c:pt>
                <c:pt idx="177">
                  <c:v>2021M10</c:v>
                </c:pt>
                <c:pt idx="178">
                  <c:v>2021M11</c:v>
                </c:pt>
                <c:pt idx="179">
                  <c:v>2021M12</c:v>
                </c:pt>
                <c:pt idx="180">
                  <c:v>2022M01</c:v>
                </c:pt>
                <c:pt idx="181">
                  <c:v>2022M02</c:v>
                </c:pt>
              </c:strCache>
            </c:strRef>
          </c:cat>
          <c:val>
            <c:numRef>
              <c:f>'Ark1'!$B$2:$B$183</c:f>
              <c:numCache>
                <c:formatCode>0.0</c:formatCode>
                <c:ptCount val="182"/>
                <c:pt idx="0">
                  <c:v>2.8</c:v>
                </c:pt>
                <c:pt idx="1">
                  <c:v>2.7</c:v>
                </c:pt>
                <c:pt idx="2">
                  <c:v>2.6</c:v>
                </c:pt>
                <c:pt idx="3">
                  <c:v>2.5</c:v>
                </c:pt>
                <c:pt idx="4">
                  <c:v>2.5</c:v>
                </c:pt>
                <c:pt idx="5">
                  <c:v>2.5</c:v>
                </c:pt>
                <c:pt idx="6">
                  <c:v>2.6</c:v>
                </c:pt>
                <c:pt idx="7">
                  <c:v>2.5</c:v>
                </c:pt>
                <c:pt idx="8">
                  <c:v>2.5</c:v>
                </c:pt>
                <c:pt idx="9">
                  <c:v>2.4</c:v>
                </c:pt>
                <c:pt idx="10">
                  <c:v>2.5</c:v>
                </c:pt>
                <c:pt idx="11">
                  <c:v>2.5</c:v>
                </c:pt>
                <c:pt idx="12">
                  <c:v>2.5</c:v>
                </c:pt>
                <c:pt idx="13">
                  <c:v>2.5</c:v>
                </c:pt>
                <c:pt idx="14">
                  <c:v>2.4</c:v>
                </c:pt>
                <c:pt idx="15">
                  <c:v>2.4</c:v>
                </c:pt>
                <c:pt idx="16">
                  <c:v>2.6</c:v>
                </c:pt>
                <c:pt idx="17">
                  <c:v>2.8</c:v>
                </c:pt>
                <c:pt idx="18">
                  <c:v>2.8</c:v>
                </c:pt>
                <c:pt idx="19">
                  <c:v>2.9</c:v>
                </c:pt>
                <c:pt idx="20">
                  <c:v>2.9</c:v>
                </c:pt>
                <c:pt idx="21">
                  <c:v>3</c:v>
                </c:pt>
                <c:pt idx="22">
                  <c:v>3.1</c:v>
                </c:pt>
                <c:pt idx="23">
                  <c:v>3.1</c:v>
                </c:pt>
                <c:pt idx="24">
                  <c:v>3.2</c:v>
                </c:pt>
                <c:pt idx="25">
                  <c:v>3</c:v>
                </c:pt>
                <c:pt idx="26">
                  <c:v>3.1</c:v>
                </c:pt>
                <c:pt idx="27">
                  <c:v>3.2</c:v>
                </c:pt>
                <c:pt idx="28">
                  <c:v>3.3</c:v>
                </c:pt>
                <c:pt idx="29">
                  <c:v>3.3</c:v>
                </c:pt>
                <c:pt idx="30">
                  <c:v>3.3</c:v>
                </c:pt>
                <c:pt idx="31">
                  <c:v>3.3</c:v>
                </c:pt>
                <c:pt idx="32">
                  <c:v>3.3</c:v>
                </c:pt>
                <c:pt idx="33">
                  <c:v>3.4</c:v>
                </c:pt>
                <c:pt idx="34">
                  <c:v>3.5</c:v>
                </c:pt>
                <c:pt idx="35">
                  <c:v>3.6</c:v>
                </c:pt>
                <c:pt idx="36">
                  <c:v>3.6</c:v>
                </c:pt>
                <c:pt idx="37">
                  <c:v>3.9</c:v>
                </c:pt>
                <c:pt idx="38">
                  <c:v>3.8</c:v>
                </c:pt>
                <c:pt idx="39">
                  <c:v>3.9</c:v>
                </c:pt>
                <c:pt idx="40">
                  <c:v>3.9</c:v>
                </c:pt>
                <c:pt idx="41">
                  <c:v>3.8</c:v>
                </c:pt>
                <c:pt idx="42">
                  <c:v>3.8</c:v>
                </c:pt>
                <c:pt idx="43">
                  <c:v>3.6</c:v>
                </c:pt>
                <c:pt idx="44">
                  <c:v>3.7</c:v>
                </c:pt>
                <c:pt idx="45">
                  <c:v>3.6</c:v>
                </c:pt>
                <c:pt idx="46">
                  <c:v>3.7</c:v>
                </c:pt>
                <c:pt idx="47">
                  <c:v>3.5</c:v>
                </c:pt>
                <c:pt idx="48">
                  <c:v>3.4</c:v>
                </c:pt>
                <c:pt idx="49">
                  <c:v>3.2</c:v>
                </c:pt>
                <c:pt idx="50">
                  <c:v>3.3</c:v>
                </c:pt>
                <c:pt idx="51">
                  <c:v>3.4</c:v>
                </c:pt>
                <c:pt idx="52">
                  <c:v>3.4</c:v>
                </c:pt>
                <c:pt idx="53">
                  <c:v>3.4</c:v>
                </c:pt>
                <c:pt idx="54">
                  <c:v>3.4</c:v>
                </c:pt>
                <c:pt idx="55">
                  <c:v>3.4</c:v>
                </c:pt>
                <c:pt idx="56">
                  <c:v>3.5</c:v>
                </c:pt>
                <c:pt idx="57">
                  <c:v>3.5</c:v>
                </c:pt>
                <c:pt idx="58">
                  <c:v>3.5</c:v>
                </c:pt>
                <c:pt idx="59">
                  <c:v>3.5</c:v>
                </c:pt>
                <c:pt idx="60">
                  <c:v>3.5</c:v>
                </c:pt>
                <c:pt idx="61">
                  <c:v>3.2</c:v>
                </c:pt>
                <c:pt idx="62">
                  <c:v>3.1</c:v>
                </c:pt>
                <c:pt idx="63">
                  <c:v>3.1</c:v>
                </c:pt>
                <c:pt idx="64">
                  <c:v>3.2</c:v>
                </c:pt>
                <c:pt idx="65">
                  <c:v>3.2</c:v>
                </c:pt>
                <c:pt idx="66">
                  <c:v>3.2</c:v>
                </c:pt>
                <c:pt idx="67">
                  <c:v>3.2</c:v>
                </c:pt>
                <c:pt idx="68">
                  <c:v>3.3</c:v>
                </c:pt>
                <c:pt idx="69">
                  <c:v>3.4</c:v>
                </c:pt>
                <c:pt idx="70">
                  <c:v>3.6</c:v>
                </c:pt>
                <c:pt idx="71">
                  <c:v>3.5</c:v>
                </c:pt>
                <c:pt idx="72">
                  <c:v>3.6</c:v>
                </c:pt>
                <c:pt idx="73">
                  <c:v>3.7</c:v>
                </c:pt>
                <c:pt idx="74">
                  <c:v>3.8</c:v>
                </c:pt>
                <c:pt idx="75">
                  <c:v>3.8</c:v>
                </c:pt>
                <c:pt idx="76">
                  <c:v>3.7</c:v>
                </c:pt>
                <c:pt idx="77">
                  <c:v>3.6</c:v>
                </c:pt>
                <c:pt idx="78">
                  <c:v>3.7</c:v>
                </c:pt>
                <c:pt idx="79">
                  <c:v>3.8</c:v>
                </c:pt>
                <c:pt idx="80">
                  <c:v>3.8</c:v>
                </c:pt>
                <c:pt idx="81">
                  <c:v>3.7</c:v>
                </c:pt>
                <c:pt idx="82">
                  <c:v>3.8</c:v>
                </c:pt>
                <c:pt idx="83">
                  <c:v>4</c:v>
                </c:pt>
                <c:pt idx="84">
                  <c:v>3.7</c:v>
                </c:pt>
                <c:pt idx="85">
                  <c:v>3.5</c:v>
                </c:pt>
                <c:pt idx="86">
                  <c:v>3.4</c:v>
                </c:pt>
                <c:pt idx="87">
                  <c:v>3.4</c:v>
                </c:pt>
                <c:pt idx="88">
                  <c:v>3.3</c:v>
                </c:pt>
                <c:pt idx="89">
                  <c:v>3.5</c:v>
                </c:pt>
                <c:pt idx="90">
                  <c:v>3.6</c:v>
                </c:pt>
                <c:pt idx="91">
                  <c:v>3.8</c:v>
                </c:pt>
                <c:pt idx="92">
                  <c:v>3.7</c:v>
                </c:pt>
                <c:pt idx="93">
                  <c:v>3.9</c:v>
                </c:pt>
                <c:pt idx="94">
                  <c:v>3.8</c:v>
                </c:pt>
                <c:pt idx="95">
                  <c:v>3.9</c:v>
                </c:pt>
                <c:pt idx="96">
                  <c:v>4.0999999999999996</c:v>
                </c:pt>
                <c:pt idx="97">
                  <c:v>4.3</c:v>
                </c:pt>
                <c:pt idx="98">
                  <c:v>4.4000000000000004</c:v>
                </c:pt>
                <c:pt idx="99">
                  <c:v>4.3</c:v>
                </c:pt>
                <c:pt idx="100">
                  <c:v>4.4000000000000004</c:v>
                </c:pt>
                <c:pt idx="101">
                  <c:v>4.7</c:v>
                </c:pt>
                <c:pt idx="102">
                  <c:v>4.5999999999999996</c:v>
                </c:pt>
                <c:pt idx="103">
                  <c:v>4.5999999999999996</c:v>
                </c:pt>
                <c:pt idx="104">
                  <c:v>4.5</c:v>
                </c:pt>
                <c:pt idx="105">
                  <c:v>4.5999999999999996</c:v>
                </c:pt>
                <c:pt idx="106">
                  <c:v>4.8</c:v>
                </c:pt>
                <c:pt idx="107">
                  <c:v>4.8</c:v>
                </c:pt>
                <c:pt idx="108">
                  <c:v>5.0999999999999996</c:v>
                </c:pt>
                <c:pt idx="109">
                  <c:v>5</c:v>
                </c:pt>
                <c:pt idx="110">
                  <c:v>5</c:v>
                </c:pt>
                <c:pt idx="111">
                  <c:v>4.8</c:v>
                </c:pt>
                <c:pt idx="112">
                  <c:v>4.8</c:v>
                </c:pt>
                <c:pt idx="113">
                  <c:v>4.8</c:v>
                </c:pt>
                <c:pt idx="114">
                  <c:v>4.8</c:v>
                </c:pt>
                <c:pt idx="115">
                  <c:v>4.8</c:v>
                </c:pt>
                <c:pt idx="116">
                  <c:v>4.7</c:v>
                </c:pt>
                <c:pt idx="117">
                  <c:v>4.5999999999999996</c:v>
                </c:pt>
                <c:pt idx="118">
                  <c:v>4.5</c:v>
                </c:pt>
                <c:pt idx="119">
                  <c:v>4.2</c:v>
                </c:pt>
                <c:pt idx="120">
                  <c:v>4.0999999999999996</c:v>
                </c:pt>
                <c:pt idx="121">
                  <c:v>4.3</c:v>
                </c:pt>
                <c:pt idx="122">
                  <c:v>4.5</c:v>
                </c:pt>
                <c:pt idx="123">
                  <c:v>4.5</c:v>
                </c:pt>
                <c:pt idx="124">
                  <c:v>4.5</c:v>
                </c:pt>
                <c:pt idx="125">
                  <c:v>4.3</c:v>
                </c:pt>
                <c:pt idx="126">
                  <c:v>4.2</c:v>
                </c:pt>
                <c:pt idx="127">
                  <c:v>4.0999999999999996</c:v>
                </c:pt>
                <c:pt idx="128">
                  <c:v>4</c:v>
                </c:pt>
                <c:pt idx="129">
                  <c:v>3.9</c:v>
                </c:pt>
                <c:pt idx="130">
                  <c:v>4</c:v>
                </c:pt>
                <c:pt idx="131">
                  <c:v>4</c:v>
                </c:pt>
                <c:pt idx="132">
                  <c:v>4</c:v>
                </c:pt>
                <c:pt idx="133">
                  <c:v>3.9</c:v>
                </c:pt>
                <c:pt idx="134">
                  <c:v>3.9</c:v>
                </c:pt>
                <c:pt idx="135">
                  <c:v>3.8</c:v>
                </c:pt>
                <c:pt idx="136">
                  <c:v>3.9</c:v>
                </c:pt>
                <c:pt idx="137">
                  <c:v>3.8</c:v>
                </c:pt>
                <c:pt idx="138">
                  <c:v>4</c:v>
                </c:pt>
                <c:pt idx="139">
                  <c:v>4</c:v>
                </c:pt>
                <c:pt idx="140">
                  <c:v>3.9</c:v>
                </c:pt>
                <c:pt idx="141">
                  <c:v>3.9</c:v>
                </c:pt>
                <c:pt idx="142">
                  <c:v>3.7</c:v>
                </c:pt>
                <c:pt idx="143">
                  <c:v>3.7</c:v>
                </c:pt>
                <c:pt idx="144">
                  <c:v>3.8</c:v>
                </c:pt>
                <c:pt idx="145">
                  <c:v>3.8</c:v>
                </c:pt>
                <c:pt idx="146">
                  <c:v>3.6</c:v>
                </c:pt>
                <c:pt idx="147">
                  <c:v>3.3</c:v>
                </c:pt>
                <c:pt idx="148">
                  <c:v>3.4</c:v>
                </c:pt>
                <c:pt idx="149">
                  <c:v>3.6</c:v>
                </c:pt>
                <c:pt idx="150">
                  <c:v>3.8</c:v>
                </c:pt>
                <c:pt idx="151">
                  <c:v>3.7</c:v>
                </c:pt>
                <c:pt idx="152">
                  <c:v>3.9</c:v>
                </c:pt>
                <c:pt idx="153">
                  <c:v>3.8</c:v>
                </c:pt>
                <c:pt idx="154">
                  <c:v>4</c:v>
                </c:pt>
                <c:pt idx="155">
                  <c:v>3.9</c:v>
                </c:pt>
                <c:pt idx="156">
                  <c:v>3.7</c:v>
                </c:pt>
                <c:pt idx="157">
                  <c:v>3.5</c:v>
                </c:pt>
                <c:pt idx="158">
                  <c:v>3.6</c:v>
                </c:pt>
                <c:pt idx="159">
                  <c:v>4.0999999999999996</c:v>
                </c:pt>
                <c:pt idx="160">
                  <c:v>4.5999999999999996</c:v>
                </c:pt>
                <c:pt idx="161">
                  <c:v>5.2</c:v>
                </c:pt>
                <c:pt idx="162">
                  <c:v>5.2</c:v>
                </c:pt>
                <c:pt idx="163">
                  <c:v>5.3</c:v>
                </c:pt>
                <c:pt idx="164">
                  <c:v>5.0999999999999996</c:v>
                </c:pt>
                <c:pt idx="165">
                  <c:v>5.2</c:v>
                </c:pt>
                <c:pt idx="166">
                  <c:v>5</c:v>
                </c:pt>
                <c:pt idx="167">
                  <c:v>4.9000000000000004</c:v>
                </c:pt>
                <c:pt idx="168">
                  <c:v>4.9000000000000004</c:v>
                </c:pt>
                <c:pt idx="169">
                  <c:v>4.7</c:v>
                </c:pt>
                <c:pt idx="170">
                  <c:v>4.8</c:v>
                </c:pt>
                <c:pt idx="171">
                  <c:v>5</c:v>
                </c:pt>
                <c:pt idx="172">
                  <c:v>5</c:v>
                </c:pt>
                <c:pt idx="173">
                  <c:v>4.9000000000000004</c:v>
                </c:pt>
                <c:pt idx="174">
                  <c:v>4.3</c:v>
                </c:pt>
                <c:pt idx="175">
                  <c:v>4</c:v>
                </c:pt>
                <c:pt idx="176">
                  <c:v>3.6</c:v>
                </c:pt>
                <c:pt idx="177">
                  <c:v>3.6</c:v>
                </c:pt>
                <c:pt idx="178">
                  <c:v>3.5</c:v>
                </c:pt>
                <c:pt idx="179">
                  <c:v>3.3</c:v>
                </c:pt>
                <c:pt idx="180">
                  <c:v>3.2</c:v>
                </c:pt>
                <c:pt idx="181" formatCode="General">
                  <c:v>3.1</c:v>
                </c:pt>
              </c:numCache>
            </c:numRef>
          </c:val>
          <c:smooth val="0"/>
          <c:extLst>
            <c:ext xmlns:c16="http://schemas.microsoft.com/office/drawing/2014/chart" uri="{C3380CC4-5D6E-409C-BE32-E72D297353CC}">
              <c16:uniqueId val="{00000000-B58A-46F0-914A-0E5B887D3A2C}"/>
            </c:ext>
          </c:extLst>
        </c:ser>
        <c:dLbls>
          <c:showLegendKey val="0"/>
          <c:showVal val="0"/>
          <c:showCatName val="0"/>
          <c:showSerName val="0"/>
          <c:showPercent val="0"/>
          <c:showBubbleSize val="0"/>
        </c:dLbls>
        <c:smooth val="0"/>
        <c:axId val="219816480"/>
        <c:axId val="894390992"/>
      </c:lineChart>
      <c:catAx>
        <c:axId val="2198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94390992"/>
        <c:crosses val="autoZero"/>
        <c:auto val="1"/>
        <c:lblAlgn val="ctr"/>
        <c:lblOffset val="100"/>
        <c:noMultiLvlLbl val="0"/>
      </c:catAx>
      <c:valAx>
        <c:axId val="894390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21981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Avklaringstiltak</c:v>
                </c:pt>
              </c:strCache>
            </c:strRef>
          </c:tx>
          <c:spPr>
            <a:ln w="28575" cap="rnd">
              <a:solidFill>
                <a:schemeClr val="accent1"/>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'Ark1'!$B$2:$B$6</c:f>
              <c:numCache>
                <c:formatCode>#,##0</c:formatCode>
                <c:ptCount val="5"/>
                <c:pt idx="0">
                  <c:v>394</c:v>
                </c:pt>
                <c:pt idx="1">
                  <c:v>359</c:v>
                </c:pt>
                <c:pt idx="2">
                  <c:v>345</c:v>
                </c:pt>
                <c:pt idx="3">
                  <c:v>405.66666666666669</c:v>
                </c:pt>
                <c:pt idx="4">
                  <c:v>394</c:v>
                </c:pt>
              </c:numCache>
            </c:numRef>
          </c:val>
          <c:smooth val="0"/>
          <c:extLst>
            <c:ext xmlns:c16="http://schemas.microsoft.com/office/drawing/2014/chart" uri="{C3380CC4-5D6E-409C-BE32-E72D297353CC}">
              <c16:uniqueId val="{00000000-CD06-4947-9148-596C42E7E976}"/>
            </c:ext>
          </c:extLst>
        </c:ser>
        <c:ser>
          <c:idx val="1"/>
          <c:order val="1"/>
          <c:tx>
            <c:strRef>
              <c:f>'Ark1'!$C$1</c:f>
              <c:strCache>
                <c:ptCount val="1"/>
                <c:pt idx="0">
                  <c:v>Oppfølging</c:v>
                </c:pt>
              </c:strCache>
            </c:strRef>
          </c:tx>
          <c:spPr>
            <a:ln w="28575" cap="rnd">
              <a:solidFill>
                <a:schemeClr val="accent2"/>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'Ark1'!$C$2:$C$6</c:f>
              <c:numCache>
                <c:formatCode>#,##0</c:formatCode>
                <c:ptCount val="5"/>
                <c:pt idx="0">
                  <c:v>4526</c:v>
                </c:pt>
                <c:pt idx="1">
                  <c:v>4638</c:v>
                </c:pt>
                <c:pt idx="2">
                  <c:v>5117</c:v>
                </c:pt>
                <c:pt idx="3">
                  <c:v>6369.666666666667</c:v>
                </c:pt>
                <c:pt idx="4">
                  <c:v>6180</c:v>
                </c:pt>
              </c:numCache>
            </c:numRef>
          </c:val>
          <c:smooth val="0"/>
          <c:extLst>
            <c:ext xmlns:c16="http://schemas.microsoft.com/office/drawing/2014/chart" uri="{C3380CC4-5D6E-409C-BE32-E72D297353CC}">
              <c16:uniqueId val="{00000001-CD06-4947-9148-596C42E7E976}"/>
            </c:ext>
          </c:extLst>
        </c:ser>
        <c:ser>
          <c:idx val="2"/>
          <c:order val="2"/>
          <c:tx>
            <c:strRef>
              <c:f>'Ark1'!$D$1</c:f>
              <c:strCache>
                <c:ptCount val="1"/>
                <c:pt idx="0">
                  <c:v>Opplæring</c:v>
                </c:pt>
              </c:strCache>
            </c:strRef>
          </c:tx>
          <c:spPr>
            <a:ln w="28575" cap="rnd">
              <a:solidFill>
                <a:schemeClr val="accent3"/>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'Ark1'!$D$2:$D$6</c:f>
              <c:numCache>
                <c:formatCode>#,##0</c:formatCode>
                <c:ptCount val="5"/>
                <c:pt idx="0">
                  <c:v>3989</c:v>
                </c:pt>
                <c:pt idx="1">
                  <c:v>3441</c:v>
                </c:pt>
                <c:pt idx="2">
                  <c:v>2919</c:v>
                </c:pt>
                <c:pt idx="3">
                  <c:v>4081</c:v>
                </c:pt>
                <c:pt idx="4">
                  <c:v>4547</c:v>
                </c:pt>
              </c:numCache>
            </c:numRef>
          </c:val>
          <c:smooth val="0"/>
          <c:extLst>
            <c:ext xmlns:c16="http://schemas.microsoft.com/office/drawing/2014/chart" uri="{C3380CC4-5D6E-409C-BE32-E72D297353CC}">
              <c16:uniqueId val="{00000002-CD06-4947-9148-596C42E7E976}"/>
            </c:ext>
          </c:extLst>
        </c:ser>
        <c:ser>
          <c:idx val="3"/>
          <c:order val="3"/>
          <c:tx>
            <c:strRef>
              <c:f>'Ark1'!$E$1</c:f>
              <c:strCache>
                <c:ptCount val="1"/>
                <c:pt idx="0">
                  <c:v>Lønnstilskudd</c:v>
                </c:pt>
              </c:strCache>
            </c:strRef>
          </c:tx>
          <c:spPr>
            <a:ln w="28575" cap="rnd">
              <a:solidFill>
                <a:schemeClr val="accent4"/>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'Ark1'!$E$2:$E$6</c:f>
              <c:numCache>
                <c:formatCode>#,##0</c:formatCode>
                <c:ptCount val="5"/>
                <c:pt idx="0">
                  <c:v>2303</c:v>
                </c:pt>
                <c:pt idx="1">
                  <c:v>1884</c:v>
                </c:pt>
                <c:pt idx="2">
                  <c:v>1799</c:v>
                </c:pt>
                <c:pt idx="3">
                  <c:v>2360</c:v>
                </c:pt>
                <c:pt idx="4">
                  <c:v>2104</c:v>
                </c:pt>
              </c:numCache>
            </c:numRef>
          </c:val>
          <c:smooth val="0"/>
          <c:extLst>
            <c:ext xmlns:c16="http://schemas.microsoft.com/office/drawing/2014/chart" uri="{C3380CC4-5D6E-409C-BE32-E72D297353CC}">
              <c16:uniqueId val="{00000003-CD06-4947-9148-596C42E7E976}"/>
            </c:ext>
          </c:extLst>
        </c:ser>
        <c:ser>
          <c:idx val="4"/>
          <c:order val="4"/>
          <c:tx>
            <c:strRef>
              <c:f>'Ark1'!$F$1</c:f>
              <c:strCache>
                <c:ptCount val="1"/>
                <c:pt idx="0">
                  <c:v>Arbeidspraksis</c:v>
                </c:pt>
              </c:strCache>
            </c:strRef>
          </c:tx>
          <c:spPr>
            <a:ln w="28575" cap="rnd">
              <a:solidFill>
                <a:schemeClr val="accent5"/>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'Ark1'!$F$2:$F$6</c:f>
              <c:numCache>
                <c:formatCode>#,##0</c:formatCode>
                <c:ptCount val="5"/>
                <c:pt idx="0">
                  <c:v>4993</c:v>
                </c:pt>
                <c:pt idx="1">
                  <c:v>3785</c:v>
                </c:pt>
                <c:pt idx="2">
                  <c:v>2669</c:v>
                </c:pt>
                <c:pt idx="3">
                  <c:v>2811</c:v>
                </c:pt>
                <c:pt idx="4">
                  <c:v>2496</c:v>
                </c:pt>
              </c:numCache>
            </c:numRef>
          </c:val>
          <c:smooth val="0"/>
          <c:extLst>
            <c:ext xmlns:c16="http://schemas.microsoft.com/office/drawing/2014/chart" uri="{C3380CC4-5D6E-409C-BE32-E72D297353CC}">
              <c16:uniqueId val="{00000004-CD06-4947-9148-596C42E7E976}"/>
            </c:ext>
          </c:extLst>
        </c:ser>
        <c:ser>
          <c:idx val="5"/>
          <c:order val="5"/>
          <c:tx>
            <c:strRef>
              <c:f>'Ark1'!$G$1</c:f>
              <c:strCache>
                <c:ptCount val="1"/>
                <c:pt idx="0">
                  <c:v>Jobbskaping og egenetablering</c:v>
                </c:pt>
              </c:strCache>
            </c:strRef>
          </c:tx>
          <c:spPr>
            <a:ln w="28575" cap="rnd">
              <a:solidFill>
                <a:schemeClr val="accent6"/>
              </a:solidFill>
              <a:round/>
            </a:ln>
            <a:effectLst/>
          </c:spPr>
          <c:marker>
            <c:symbol val="none"/>
          </c:marker>
          <c:cat>
            <c:numRef>
              <c:f>'Ark1'!$A$2:$A$6</c:f>
              <c:numCache>
                <c:formatCode>0</c:formatCode>
                <c:ptCount val="5"/>
                <c:pt idx="0">
                  <c:v>2018</c:v>
                </c:pt>
                <c:pt idx="1">
                  <c:v>2019</c:v>
                </c:pt>
                <c:pt idx="2">
                  <c:v>2020</c:v>
                </c:pt>
                <c:pt idx="3" formatCode="#,##0">
                  <c:v>2021</c:v>
                </c:pt>
                <c:pt idx="4" formatCode="#,##0">
                  <c:v>2022</c:v>
                </c:pt>
              </c:numCache>
            </c:numRef>
          </c:cat>
          <c:val>
            <c:numRef>
              <c:f>'Ark1'!$G$2:$G$6</c:f>
              <c:numCache>
                <c:formatCode>#,##0</c:formatCode>
                <c:ptCount val="5"/>
                <c:pt idx="0">
                  <c:v>187</c:v>
                </c:pt>
                <c:pt idx="1">
                  <c:v>149</c:v>
                </c:pt>
                <c:pt idx="2">
                  <c:v>92</c:v>
                </c:pt>
                <c:pt idx="3">
                  <c:v>100</c:v>
                </c:pt>
                <c:pt idx="4">
                  <c:v>96</c:v>
                </c:pt>
              </c:numCache>
            </c:numRef>
          </c:val>
          <c:smooth val="0"/>
          <c:extLst>
            <c:ext xmlns:c16="http://schemas.microsoft.com/office/drawing/2014/chart" uri="{C3380CC4-5D6E-409C-BE32-E72D297353CC}">
              <c16:uniqueId val="{00000005-CD06-4947-9148-596C42E7E976}"/>
            </c:ext>
          </c:extLst>
        </c:ser>
        <c:dLbls>
          <c:showLegendKey val="0"/>
          <c:showVal val="0"/>
          <c:showCatName val="0"/>
          <c:showSerName val="0"/>
          <c:showPercent val="0"/>
          <c:showBubbleSize val="0"/>
        </c:dLbls>
        <c:smooth val="0"/>
        <c:axId val="990807304"/>
        <c:axId val="990811568"/>
      </c:lineChart>
      <c:catAx>
        <c:axId val="9908073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b-NO"/>
          </a:p>
        </c:txPr>
        <c:crossAx val="990811568"/>
        <c:crosses val="autoZero"/>
        <c:auto val="1"/>
        <c:lblAlgn val="ctr"/>
        <c:lblOffset val="100"/>
        <c:noMultiLvlLbl val="0"/>
      </c:catAx>
      <c:valAx>
        <c:axId val="99081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b-NO"/>
          </a:p>
        </c:txPr>
        <c:crossAx val="99080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Sverige</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'Ark1'!$B$2:$B$11</c:f>
              <c:numCache>
                <c:formatCode>#\ ##0.00_ ;\-#\ ##0.00\ </c:formatCode>
                <c:ptCount val="10"/>
                <c:pt idx="0">
                  <c:v>1.0900000000000001</c:v>
                </c:pt>
                <c:pt idx="1">
                  <c:v>1.1399999999999999</c:v>
                </c:pt>
                <c:pt idx="2">
                  <c:v>1.26</c:v>
                </c:pt>
                <c:pt idx="3">
                  <c:v>1.34</c:v>
                </c:pt>
                <c:pt idx="4">
                  <c:v>1.31</c:v>
                </c:pt>
                <c:pt idx="5">
                  <c:v>1.25</c:v>
                </c:pt>
                <c:pt idx="6">
                  <c:v>1.1599999999999999</c:v>
                </c:pt>
                <c:pt idx="7">
                  <c:v>1.1200000000000001</c:v>
                </c:pt>
                <c:pt idx="8">
                  <c:v>1.1100000000000001</c:v>
                </c:pt>
                <c:pt idx="9">
                  <c:v>1.02</c:v>
                </c:pt>
              </c:numCache>
            </c:numRef>
          </c:val>
          <c:smooth val="0"/>
          <c:extLst>
            <c:ext xmlns:c16="http://schemas.microsoft.com/office/drawing/2014/chart" uri="{C3380CC4-5D6E-409C-BE32-E72D297353CC}">
              <c16:uniqueId val="{00000000-E16E-45F9-9A00-AF4112C06B1C}"/>
            </c:ext>
          </c:extLst>
        </c:ser>
        <c:ser>
          <c:idx val="1"/>
          <c:order val="1"/>
          <c:tx>
            <c:strRef>
              <c:f>'Ark1'!$C$1</c:f>
              <c:strCache>
                <c:ptCount val="1"/>
                <c:pt idx="0">
                  <c:v>Danmark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'Ark1'!$C$2:$C$11</c:f>
              <c:numCache>
                <c:formatCode>#\ ##0.00_ ;\-#\ ##0.00\ </c:formatCode>
                <c:ptCount val="10"/>
                <c:pt idx="0">
                  <c:v>2.02</c:v>
                </c:pt>
                <c:pt idx="1">
                  <c:v>2.02</c:v>
                </c:pt>
                <c:pt idx="2">
                  <c:v>1.94</c:v>
                </c:pt>
                <c:pt idx="3">
                  <c:v>1.93</c:v>
                </c:pt>
                <c:pt idx="4">
                  <c:v>2.0299999999999998</c:v>
                </c:pt>
                <c:pt idx="5">
                  <c:v>2.04</c:v>
                </c:pt>
                <c:pt idx="6">
                  <c:v>2.02</c:v>
                </c:pt>
                <c:pt idx="7">
                  <c:v>1.95</c:v>
                </c:pt>
                <c:pt idx="8">
                  <c:v>1.89</c:v>
                </c:pt>
                <c:pt idx="9">
                  <c:v>1.86</c:v>
                </c:pt>
              </c:numCache>
            </c:numRef>
          </c:val>
          <c:smooth val="0"/>
          <c:extLst>
            <c:ext xmlns:c16="http://schemas.microsoft.com/office/drawing/2014/chart" uri="{C3380CC4-5D6E-409C-BE32-E72D297353CC}">
              <c16:uniqueId val="{00000001-E16E-45F9-9A00-AF4112C06B1C}"/>
            </c:ext>
          </c:extLst>
        </c:ser>
        <c:ser>
          <c:idx val="2"/>
          <c:order val="2"/>
          <c:tx>
            <c:strRef>
              <c:f>'Ark1'!$D$1</c:f>
              <c:strCache>
                <c:ptCount val="1"/>
                <c:pt idx="0">
                  <c:v>Finland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'Ark1'!$D$2:$D$11</c:f>
              <c:numCache>
                <c:formatCode>#\ ##0.00_ ;\-#\ ##0.00\ </c:formatCode>
                <c:ptCount val="10"/>
                <c:pt idx="0">
                  <c:v>1</c:v>
                </c:pt>
                <c:pt idx="1">
                  <c:v>0.97</c:v>
                </c:pt>
                <c:pt idx="2">
                  <c:v>0.98</c:v>
                </c:pt>
                <c:pt idx="3">
                  <c:v>1</c:v>
                </c:pt>
                <c:pt idx="4">
                  <c:v>1.05</c:v>
                </c:pt>
                <c:pt idx="5">
                  <c:v>0.99</c:v>
                </c:pt>
                <c:pt idx="6">
                  <c:v>0.98</c:v>
                </c:pt>
                <c:pt idx="7">
                  <c:v>0.98</c:v>
                </c:pt>
                <c:pt idx="8">
                  <c:v>0.94</c:v>
                </c:pt>
                <c:pt idx="9">
                  <c:v>0.92</c:v>
                </c:pt>
              </c:numCache>
            </c:numRef>
          </c:val>
          <c:smooth val="0"/>
          <c:extLst>
            <c:ext xmlns:c16="http://schemas.microsoft.com/office/drawing/2014/chart" uri="{C3380CC4-5D6E-409C-BE32-E72D297353CC}">
              <c16:uniqueId val="{00000002-E16E-45F9-9A00-AF4112C06B1C}"/>
            </c:ext>
          </c:extLst>
        </c:ser>
        <c:ser>
          <c:idx val="3"/>
          <c:order val="3"/>
          <c:tx>
            <c:strRef>
              <c:f>'Ark1'!$E$1</c:f>
              <c:strCache>
                <c:ptCount val="1"/>
                <c:pt idx="0">
                  <c:v>Tyskland</c:v>
                </c:pt>
              </c:strCache>
            </c:strRef>
          </c:tx>
          <c:spPr>
            <a:ln w="28575" cap="rnd">
              <a:solidFill>
                <a:schemeClr val="tx2">
                  <a:lumMod val="10000"/>
                </a:schemeClr>
              </a:solidFill>
              <a:round/>
            </a:ln>
            <a:effectLst/>
          </c:spPr>
          <c:marker>
            <c:symbol val="circle"/>
            <c:size val="5"/>
            <c:spPr>
              <a:solidFill>
                <a:schemeClr val="tx2">
                  <a:lumMod val="10000"/>
                </a:schemeClr>
              </a:solidFill>
              <a:ln w="9525">
                <a:solidFill>
                  <a:schemeClr val="tx2">
                    <a:lumMod val="10000"/>
                  </a:schemeClr>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'Ark1'!$E$2:$E$11</c:f>
              <c:numCache>
                <c:formatCode>#\ ##0.00_ ;\-#\ ##0.00\ </c:formatCode>
                <c:ptCount val="10"/>
                <c:pt idx="0">
                  <c:v>0.9</c:v>
                </c:pt>
                <c:pt idx="1">
                  <c:v>0.77</c:v>
                </c:pt>
                <c:pt idx="2">
                  <c:v>0.68</c:v>
                </c:pt>
                <c:pt idx="3">
                  <c:v>0.64</c:v>
                </c:pt>
                <c:pt idx="4">
                  <c:v>0.65</c:v>
                </c:pt>
                <c:pt idx="5">
                  <c:v>0.64</c:v>
                </c:pt>
                <c:pt idx="6">
                  <c:v>0.63</c:v>
                </c:pt>
                <c:pt idx="7">
                  <c:v>0.66</c:v>
                </c:pt>
                <c:pt idx="8">
                  <c:v>0.68</c:v>
                </c:pt>
                <c:pt idx="9">
                  <c:v>0.6</c:v>
                </c:pt>
              </c:numCache>
            </c:numRef>
          </c:val>
          <c:smooth val="0"/>
          <c:extLst>
            <c:ext xmlns:c16="http://schemas.microsoft.com/office/drawing/2014/chart" uri="{C3380CC4-5D6E-409C-BE32-E72D297353CC}">
              <c16:uniqueId val="{00000003-E16E-45F9-9A00-AF4112C06B1C}"/>
            </c:ext>
          </c:extLst>
        </c:ser>
        <c:ser>
          <c:idx val="4"/>
          <c:order val="4"/>
          <c:tx>
            <c:strRef>
              <c:f>'Ark1'!$F$1</c:f>
              <c:strCache>
                <c:ptCount val="1"/>
                <c:pt idx="0">
                  <c:v>Nederland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'Ark1'!$F$2:$F$11</c:f>
              <c:numCache>
                <c:formatCode>#\ ##0.00_ ;\-#\ ##0.00\ </c:formatCode>
                <c:ptCount val="10"/>
                <c:pt idx="0">
                  <c:v>1.0900000000000001</c:v>
                </c:pt>
                <c:pt idx="1">
                  <c:v>1.01</c:v>
                </c:pt>
                <c:pt idx="2">
                  <c:v>0.87</c:v>
                </c:pt>
                <c:pt idx="3">
                  <c:v>0.82</c:v>
                </c:pt>
                <c:pt idx="4">
                  <c:v>0.82</c:v>
                </c:pt>
                <c:pt idx="5">
                  <c:v>0.76</c:v>
                </c:pt>
                <c:pt idx="6">
                  <c:v>0.71</c:v>
                </c:pt>
                <c:pt idx="7">
                  <c:v>0.64</c:v>
                </c:pt>
                <c:pt idx="8">
                  <c:v>0.59</c:v>
                </c:pt>
                <c:pt idx="9">
                  <c:v>0.56999999999999995</c:v>
                </c:pt>
              </c:numCache>
            </c:numRef>
          </c:val>
          <c:smooth val="0"/>
          <c:extLst>
            <c:ext xmlns:c16="http://schemas.microsoft.com/office/drawing/2014/chart" uri="{C3380CC4-5D6E-409C-BE32-E72D297353CC}">
              <c16:uniqueId val="{00000004-E16E-45F9-9A00-AF4112C06B1C}"/>
            </c:ext>
          </c:extLst>
        </c:ser>
        <c:ser>
          <c:idx val="5"/>
          <c:order val="5"/>
          <c:tx>
            <c:strRef>
              <c:f>'Ark1'!$G$1</c:f>
              <c:strCache>
                <c:ptCount val="1"/>
                <c:pt idx="0">
                  <c:v>Norge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'Ark1'!$G$2:$G$11</c:f>
              <c:numCache>
                <c:formatCode>#\ ##0.00_ ;\-#\ ##0.00\ </c:formatCode>
                <c:ptCount val="10"/>
                <c:pt idx="0">
                  <c:v>0.62</c:v>
                </c:pt>
                <c:pt idx="1">
                  <c:v>0.56000000000000005</c:v>
                </c:pt>
                <c:pt idx="2">
                  <c:v>0.53</c:v>
                </c:pt>
                <c:pt idx="3">
                  <c:v>0.5</c:v>
                </c:pt>
                <c:pt idx="4">
                  <c:v>0.51</c:v>
                </c:pt>
                <c:pt idx="5">
                  <c:v>0.52</c:v>
                </c:pt>
                <c:pt idx="6">
                  <c:v>0.53</c:v>
                </c:pt>
                <c:pt idx="7">
                  <c:v>0.47</c:v>
                </c:pt>
                <c:pt idx="8">
                  <c:v>0.42</c:v>
                </c:pt>
                <c:pt idx="9">
                  <c:v>0.4</c:v>
                </c:pt>
              </c:numCache>
            </c:numRef>
          </c:val>
          <c:smooth val="0"/>
          <c:extLst>
            <c:ext xmlns:c16="http://schemas.microsoft.com/office/drawing/2014/chart" uri="{C3380CC4-5D6E-409C-BE32-E72D297353CC}">
              <c16:uniqueId val="{00000005-E16E-45F9-9A00-AF4112C06B1C}"/>
            </c:ext>
          </c:extLst>
        </c:ser>
        <c:ser>
          <c:idx val="6"/>
          <c:order val="6"/>
          <c:tx>
            <c:strRef>
              <c:f>'Ark1'!$H$1</c:f>
              <c:strCache>
                <c:ptCount val="1"/>
                <c:pt idx="0">
                  <c:v>Kolonne2</c:v>
                </c:pt>
              </c:strCache>
            </c:strRef>
          </c:tx>
          <c:spPr>
            <a:ln w="28575" cap="rnd">
              <a:solidFill>
                <a:schemeClr val="accent1">
                  <a:lumMod val="60000"/>
                </a:schemeClr>
              </a:solidFill>
              <a:round/>
            </a:ln>
            <a:effectLst/>
          </c:spPr>
          <c:marker>
            <c:symbol val="none"/>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'Ark1'!$H$2:$H$11</c:f>
            </c:numRef>
          </c:val>
          <c:smooth val="0"/>
          <c:extLst>
            <c:ext xmlns:c16="http://schemas.microsoft.com/office/drawing/2014/chart" uri="{C3380CC4-5D6E-409C-BE32-E72D297353CC}">
              <c16:uniqueId val="{00000006-E16E-45F9-9A00-AF4112C06B1C}"/>
            </c:ext>
          </c:extLst>
        </c:ser>
        <c:ser>
          <c:idx val="7"/>
          <c:order val="7"/>
          <c:tx>
            <c:strRef>
              <c:f>'Ark1'!$I$1</c:f>
              <c:strCache>
                <c:ptCount val="1"/>
                <c:pt idx="0">
                  <c:v>Kolonne3</c:v>
                </c:pt>
              </c:strCache>
            </c:strRef>
          </c:tx>
          <c:spPr>
            <a:ln w="28575" cap="rnd">
              <a:solidFill>
                <a:schemeClr val="accent2">
                  <a:lumMod val="60000"/>
                </a:schemeClr>
              </a:solidFill>
              <a:round/>
            </a:ln>
            <a:effectLst/>
          </c:spPr>
          <c:marker>
            <c:symbol val="none"/>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'Ark1'!$I$2:$I$11</c:f>
            </c:numRef>
          </c:val>
          <c:smooth val="0"/>
          <c:extLst>
            <c:ext xmlns:c16="http://schemas.microsoft.com/office/drawing/2014/chart" uri="{C3380CC4-5D6E-409C-BE32-E72D297353CC}">
              <c16:uniqueId val="{00000007-E16E-45F9-9A00-AF4112C06B1C}"/>
            </c:ext>
          </c:extLst>
        </c:ser>
        <c:ser>
          <c:idx val="8"/>
          <c:order val="8"/>
          <c:tx>
            <c:strRef>
              <c:f>'Ark1'!$J$1</c:f>
              <c:strCache>
                <c:ptCount val="1"/>
                <c:pt idx="0">
                  <c:v>Kolonne4</c:v>
                </c:pt>
              </c:strCache>
            </c:strRef>
          </c:tx>
          <c:spPr>
            <a:ln w="28575" cap="rnd">
              <a:solidFill>
                <a:schemeClr val="accent3">
                  <a:lumMod val="60000"/>
                </a:schemeClr>
              </a:solidFill>
              <a:round/>
            </a:ln>
            <a:effectLst/>
          </c:spPr>
          <c:marker>
            <c:symbol val="none"/>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'Ark1'!$J$2:$J$11</c:f>
            </c:numRef>
          </c:val>
          <c:smooth val="0"/>
          <c:extLst>
            <c:ext xmlns:c16="http://schemas.microsoft.com/office/drawing/2014/chart" uri="{C3380CC4-5D6E-409C-BE32-E72D297353CC}">
              <c16:uniqueId val="{00000008-E16E-45F9-9A00-AF4112C06B1C}"/>
            </c:ext>
          </c:extLst>
        </c:ser>
        <c:ser>
          <c:idx val="9"/>
          <c:order val="9"/>
          <c:tx>
            <c:strRef>
              <c:f>'Ark1'!$K$1</c:f>
              <c:strCache>
                <c:ptCount val="1"/>
                <c:pt idx="0">
                  <c:v>Kolonne5</c:v>
                </c:pt>
              </c:strCache>
            </c:strRef>
          </c:tx>
          <c:spPr>
            <a:ln w="28575" cap="rnd">
              <a:solidFill>
                <a:schemeClr val="accent4">
                  <a:lumMod val="60000"/>
                </a:schemeClr>
              </a:solidFill>
              <a:round/>
            </a:ln>
            <a:effectLst/>
          </c:spPr>
          <c:marker>
            <c:symbol val="none"/>
          </c:marker>
          <c:cat>
            <c:numRef>
              <c:f>'Ark1'!$A$2:$A$11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'Ark1'!$K$2:$K$11</c:f>
            </c:numRef>
          </c:val>
          <c:smooth val="0"/>
          <c:extLst>
            <c:ext xmlns:c16="http://schemas.microsoft.com/office/drawing/2014/chart" uri="{C3380CC4-5D6E-409C-BE32-E72D297353CC}">
              <c16:uniqueId val="{00000009-E16E-45F9-9A00-AF4112C06B1C}"/>
            </c:ext>
          </c:extLst>
        </c:ser>
        <c:dLbls>
          <c:showLegendKey val="0"/>
          <c:showVal val="0"/>
          <c:showCatName val="0"/>
          <c:showSerName val="0"/>
          <c:showPercent val="0"/>
          <c:showBubbleSize val="0"/>
        </c:dLbls>
        <c:marker val="1"/>
        <c:smooth val="0"/>
        <c:axId val="518470552"/>
        <c:axId val="518468584"/>
      </c:lineChart>
      <c:catAx>
        <c:axId val="51847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18468584"/>
        <c:crosses val="autoZero"/>
        <c:auto val="1"/>
        <c:lblAlgn val="ctr"/>
        <c:lblOffset val="100"/>
        <c:noMultiLvlLbl val="0"/>
      </c:catAx>
      <c:valAx>
        <c:axId val="518468584"/>
        <c:scaling>
          <c:orientation val="minMax"/>
        </c:scaling>
        <c:delete val="0"/>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1847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nb-NO" sz="1200" b="1"/>
              <a:t>24-måneders prisutvikling etter boligprisindeks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nb-NO"/>
        </a:p>
      </c:txPr>
    </c:title>
    <c:autoTitleDeleted val="0"/>
    <c:plotArea>
      <c:layout/>
      <c:lineChart>
        <c:grouping val="standard"/>
        <c:varyColors val="0"/>
        <c:ser>
          <c:idx val="0"/>
          <c:order val="0"/>
          <c:tx>
            <c:v>Indeks</c:v>
          </c:tx>
          <c:spPr>
            <a:ln w="28575" cap="rnd">
              <a:solidFill>
                <a:schemeClr val="accent1"/>
              </a:solidFill>
              <a:round/>
            </a:ln>
            <a:effectLst/>
          </c:spPr>
          <c:marker>
            <c:symbol val="none"/>
          </c:marker>
          <c:cat>
            <c:numRef>
              <c:f>'Ark1'!$A$1:$A$25</c:f>
              <c:numCache>
                <c:formatCode>m/d/yyyy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'Ark1'!$B$1:$B$25</c:f>
              <c:numCache>
                <c:formatCode>0.00</c:formatCode>
                <c:ptCount val="25"/>
                <c:pt idx="0">
                  <c:v>270.02999999999997</c:v>
                </c:pt>
                <c:pt idx="1">
                  <c:v>271.47000000000003</c:v>
                </c:pt>
                <c:pt idx="2">
                  <c:v>276.72000000000003</c:v>
                </c:pt>
                <c:pt idx="3">
                  <c:v>278.97000000000003</c:v>
                </c:pt>
                <c:pt idx="4">
                  <c:v>280.02999999999997</c:v>
                </c:pt>
                <c:pt idx="5">
                  <c:v>283.22000000000003</c:v>
                </c:pt>
                <c:pt idx="6">
                  <c:v>284.38</c:v>
                </c:pt>
                <c:pt idx="7">
                  <c:v>285.69</c:v>
                </c:pt>
                <c:pt idx="8">
                  <c:v>285.26</c:v>
                </c:pt>
                <c:pt idx="9">
                  <c:v>285.38</c:v>
                </c:pt>
                <c:pt idx="10">
                  <c:v>294.45999999999998</c:v>
                </c:pt>
                <c:pt idx="11">
                  <c:v>300.37</c:v>
                </c:pt>
                <c:pt idx="12">
                  <c:v>303.87</c:v>
                </c:pt>
                <c:pt idx="13">
                  <c:v>304.83</c:v>
                </c:pt>
                <c:pt idx="14">
                  <c:v>307.94</c:v>
                </c:pt>
                <c:pt idx="15">
                  <c:v>307.24</c:v>
                </c:pt>
                <c:pt idx="16">
                  <c:v>303.89</c:v>
                </c:pt>
                <c:pt idx="17">
                  <c:v>309.77</c:v>
                </c:pt>
                <c:pt idx="18">
                  <c:v>307.12</c:v>
                </c:pt>
                <c:pt idx="19">
                  <c:v>305.77999999999997</c:v>
                </c:pt>
                <c:pt idx="20">
                  <c:v>303.99</c:v>
                </c:pt>
                <c:pt idx="21">
                  <c:v>300.14</c:v>
                </c:pt>
                <c:pt idx="22">
                  <c:v>314.58999999999997</c:v>
                </c:pt>
                <c:pt idx="23">
                  <c:v>319.32</c:v>
                </c:pt>
                <c:pt idx="24">
                  <c:v>322.85000000000002</c:v>
                </c:pt>
              </c:numCache>
            </c:numRef>
          </c:val>
          <c:smooth val="0"/>
          <c:extLst>
            <c:ext xmlns:c16="http://schemas.microsoft.com/office/drawing/2014/chart" uri="{C3380CC4-5D6E-409C-BE32-E72D297353CC}">
              <c16:uniqueId val="{00000000-607C-4A1E-B4CE-420CCD3377C5}"/>
            </c:ext>
          </c:extLst>
        </c:ser>
        <c:ser>
          <c:idx val="1"/>
          <c:order val="1"/>
          <c:tx>
            <c:v>Sesongjustert</c:v>
          </c:tx>
          <c:spPr>
            <a:ln w="28575" cap="rnd">
              <a:solidFill>
                <a:schemeClr val="accent2"/>
              </a:solidFill>
              <a:round/>
            </a:ln>
            <a:effectLst/>
          </c:spPr>
          <c:marker>
            <c:symbol val="none"/>
          </c:marker>
          <c:cat>
            <c:numRef>
              <c:f>'Ark1'!$A$1:$A$25</c:f>
              <c:numCache>
                <c:formatCode>m/d/yyyy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'Ark1'!$C$1:$C$25</c:f>
              <c:numCache>
                <c:formatCode>0.00</c:formatCode>
                <c:ptCount val="25"/>
                <c:pt idx="0">
                  <c:v>268.60000000000002</c:v>
                </c:pt>
                <c:pt idx="1">
                  <c:v>268.72000000000003</c:v>
                </c:pt>
                <c:pt idx="2">
                  <c:v>272.67</c:v>
                </c:pt>
                <c:pt idx="3">
                  <c:v>276.16000000000003</c:v>
                </c:pt>
                <c:pt idx="4">
                  <c:v>279.72000000000003</c:v>
                </c:pt>
                <c:pt idx="5">
                  <c:v>279.82</c:v>
                </c:pt>
                <c:pt idx="6">
                  <c:v>284.60000000000002</c:v>
                </c:pt>
                <c:pt idx="7">
                  <c:v>288.07</c:v>
                </c:pt>
                <c:pt idx="8">
                  <c:v>290.83999999999997</c:v>
                </c:pt>
                <c:pt idx="9">
                  <c:v>293.39999999999998</c:v>
                </c:pt>
                <c:pt idx="10">
                  <c:v>294.95999999999998</c:v>
                </c:pt>
                <c:pt idx="11">
                  <c:v>298.75</c:v>
                </c:pt>
                <c:pt idx="12">
                  <c:v>301.97000000000003</c:v>
                </c:pt>
                <c:pt idx="13">
                  <c:v>302.07</c:v>
                </c:pt>
                <c:pt idx="14">
                  <c:v>303.72000000000003</c:v>
                </c:pt>
                <c:pt idx="15">
                  <c:v>304.26</c:v>
                </c:pt>
                <c:pt idx="16">
                  <c:v>303.77</c:v>
                </c:pt>
                <c:pt idx="17">
                  <c:v>306.39</c:v>
                </c:pt>
                <c:pt idx="18">
                  <c:v>307.41000000000003</c:v>
                </c:pt>
                <c:pt idx="19">
                  <c:v>308.37</c:v>
                </c:pt>
                <c:pt idx="20">
                  <c:v>309.74</c:v>
                </c:pt>
                <c:pt idx="21">
                  <c:v>308.57</c:v>
                </c:pt>
                <c:pt idx="22">
                  <c:v>315.08</c:v>
                </c:pt>
                <c:pt idx="23">
                  <c:v>317.45999999999998</c:v>
                </c:pt>
                <c:pt idx="24">
                  <c:v>320.57</c:v>
                </c:pt>
              </c:numCache>
            </c:numRef>
          </c:val>
          <c:smooth val="0"/>
          <c:extLst>
            <c:ext xmlns:c16="http://schemas.microsoft.com/office/drawing/2014/chart" uri="{C3380CC4-5D6E-409C-BE32-E72D297353CC}">
              <c16:uniqueId val="{00000001-607C-4A1E-B4CE-420CCD3377C5}"/>
            </c:ext>
          </c:extLst>
        </c:ser>
        <c:dLbls>
          <c:showLegendKey val="0"/>
          <c:showVal val="0"/>
          <c:showCatName val="0"/>
          <c:showSerName val="0"/>
          <c:showPercent val="0"/>
          <c:showBubbleSize val="0"/>
        </c:dLbls>
        <c:smooth val="0"/>
        <c:axId val="610779144"/>
        <c:axId val="610778488"/>
      </c:lineChart>
      <c:dateAx>
        <c:axId val="6107791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610778488"/>
        <c:crosses val="autoZero"/>
        <c:auto val="1"/>
        <c:lblOffset val="100"/>
        <c:baseTimeUnit val="months"/>
      </c:dateAx>
      <c:valAx>
        <c:axId val="610778488"/>
        <c:scaling>
          <c:orientation val="minMax"/>
          <c:min val="2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nb-NO"/>
                  <a:t>Indeks : 100=01.01.2003</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61077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nb-NO" sz="1100" b="1"/>
              <a:t>Andel husholdninger med høy gjeldsgrad</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Gjeldsgrad større enn 3</c:v>
                </c:pt>
              </c:strCache>
            </c:strRef>
          </c:tx>
          <c:spPr>
            <a:ln w="28575" cap="rnd">
              <a:solidFill>
                <a:schemeClr val="accent1"/>
              </a:solidFill>
              <a:round/>
            </a:ln>
            <a:effectLst/>
          </c:spPr>
          <c:marker>
            <c:symbol val="none"/>
          </c:marker>
          <c:cat>
            <c:numRef>
              <c:f>'Ark1'!$A$2:$A$30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'Ark1'!$B$2:$B$30</c:f>
              <c:numCache>
                <c:formatCode>0.0</c:formatCode>
                <c:ptCount val="29"/>
                <c:pt idx="0">
                  <c:v>5</c:v>
                </c:pt>
                <c:pt idx="1">
                  <c:v>6</c:v>
                </c:pt>
                <c:pt idx="2">
                  <c:v>5</c:v>
                </c:pt>
                <c:pt idx="3">
                  <c:v>6</c:v>
                </c:pt>
                <c:pt idx="4">
                  <c:v>6</c:v>
                </c:pt>
                <c:pt idx="5">
                  <c:v>7</c:v>
                </c:pt>
                <c:pt idx="6">
                  <c:v>6</c:v>
                </c:pt>
                <c:pt idx="7">
                  <c:v>6</c:v>
                </c:pt>
                <c:pt idx="8">
                  <c:v>6</c:v>
                </c:pt>
                <c:pt idx="9">
                  <c:v>6</c:v>
                </c:pt>
                <c:pt idx="10">
                  <c:v>7</c:v>
                </c:pt>
                <c:pt idx="11">
                  <c:v>8</c:v>
                </c:pt>
                <c:pt idx="12">
                  <c:v>9</c:v>
                </c:pt>
                <c:pt idx="13">
                  <c:v>9.3000000000000007</c:v>
                </c:pt>
                <c:pt idx="14">
                  <c:v>10.7</c:v>
                </c:pt>
                <c:pt idx="15">
                  <c:v>12.5</c:v>
                </c:pt>
                <c:pt idx="16">
                  <c:v>13.2</c:v>
                </c:pt>
                <c:pt idx="17">
                  <c:v>13.100000000000001</c:v>
                </c:pt>
                <c:pt idx="18">
                  <c:v>13.8</c:v>
                </c:pt>
                <c:pt idx="19">
                  <c:v>14.3</c:v>
                </c:pt>
                <c:pt idx="20">
                  <c:v>14.600000000000001</c:v>
                </c:pt>
                <c:pt idx="21">
                  <c:v>15.200000000000001</c:v>
                </c:pt>
                <c:pt idx="22">
                  <c:v>15.8</c:v>
                </c:pt>
                <c:pt idx="23">
                  <c:v>16.399999999999999</c:v>
                </c:pt>
                <c:pt idx="24">
                  <c:v>17.200000000000003</c:v>
                </c:pt>
                <c:pt idx="25">
                  <c:v>18.5</c:v>
                </c:pt>
                <c:pt idx="26">
                  <c:v>19.5</c:v>
                </c:pt>
                <c:pt idx="27">
                  <c:v>20</c:v>
                </c:pt>
                <c:pt idx="28">
                  <c:v>20.2</c:v>
                </c:pt>
              </c:numCache>
            </c:numRef>
          </c:val>
          <c:smooth val="0"/>
          <c:extLst>
            <c:ext xmlns:c16="http://schemas.microsoft.com/office/drawing/2014/chart" uri="{C3380CC4-5D6E-409C-BE32-E72D297353CC}">
              <c16:uniqueId val="{00000000-2DAE-4720-B3F2-1F9CF3286D5A}"/>
            </c:ext>
          </c:extLst>
        </c:ser>
        <c:ser>
          <c:idx val="1"/>
          <c:order val="1"/>
          <c:tx>
            <c:strRef>
              <c:f>'Ark1'!$C$1</c:f>
              <c:strCache>
                <c:ptCount val="1"/>
                <c:pt idx="0">
                  <c:v>Gjeldsgrad større enn 4</c:v>
                </c:pt>
              </c:strCache>
            </c:strRef>
          </c:tx>
          <c:spPr>
            <a:ln w="28575" cap="rnd">
              <a:solidFill>
                <a:schemeClr val="accent2"/>
              </a:solidFill>
              <a:round/>
            </a:ln>
            <a:effectLst/>
          </c:spPr>
          <c:marker>
            <c:symbol val="none"/>
          </c:marker>
          <c:cat>
            <c:numRef>
              <c:f>'Ark1'!$A$2:$A$30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'Ark1'!$C$2:$C$30</c:f>
              <c:numCache>
                <c:formatCode>General</c:formatCode>
                <c:ptCount val="29"/>
                <c:pt idx="13" formatCode="0.0">
                  <c:v>4.4000000000000004</c:v>
                </c:pt>
                <c:pt idx="14" formatCode="0.0">
                  <c:v>5.2</c:v>
                </c:pt>
                <c:pt idx="15" formatCode="0.0">
                  <c:v>6.3000000000000007</c:v>
                </c:pt>
                <c:pt idx="16" formatCode="0.0">
                  <c:v>6.6</c:v>
                </c:pt>
                <c:pt idx="17" formatCode="0.0">
                  <c:v>6.4</c:v>
                </c:pt>
                <c:pt idx="18" formatCode="0.0">
                  <c:v>6.6999999999999993</c:v>
                </c:pt>
                <c:pt idx="19" formatCode="0.0">
                  <c:v>6.8</c:v>
                </c:pt>
                <c:pt idx="20" formatCode="0.0">
                  <c:v>6.9</c:v>
                </c:pt>
                <c:pt idx="21" formatCode="0.0">
                  <c:v>7.1999999999999993</c:v>
                </c:pt>
                <c:pt idx="22" formatCode="0.0">
                  <c:v>7.5</c:v>
                </c:pt>
                <c:pt idx="23" formatCode="0.0">
                  <c:v>7.8000000000000007</c:v>
                </c:pt>
                <c:pt idx="24" formatCode="0.0">
                  <c:v>8.3000000000000007</c:v>
                </c:pt>
                <c:pt idx="25" formatCode="0.0">
                  <c:v>9.1999999999999993</c:v>
                </c:pt>
                <c:pt idx="26" formatCode="0.0">
                  <c:v>9.9</c:v>
                </c:pt>
                <c:pt idx="27" formatCode="0.0">
                  <c:v>10.1</c:v>
                </c:pt>
                <c:pt idx="28" formatCode="0.0">
                  <c:v>10.199999999999999</c:v>
                </c:pt>
              </c:numCache>
            </c:numRef>
          </c:val>
          <c:smooth val="0"/>
          <c:extLst>
            <c:ext xmlns:c16="http://schemas.microsoft.com/office/drawing/2014/chart" uri="{C3380CC4-5D6E-409C-BE32-E72D297353CC}">
              <c16:uniqueId val="{00000001-2DAE-4720-B3F2-1F9CF3286D5A}"/>
            </c:ext>
          </c:extLst>
        </c:ser>
        <c:dLbls>
          <c:showLegendKey val="0"/>
          <c:showVal val="0"/>
          <c:showCatName val="0"/>
          <c:showSerName val="0"/>
          <c:showPercent val="0"/>
          <c:showBubbleSize val="0"/>
        </c:dLbls>
        <c:smooth val="0"/>
        <c:axId val="1113596136"/>
        <c:axId val="1113596792"/>
      </c:lineChart>
      <c:catAx>
        <c:axId val="111359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113596792"/>
        <c:crosses val="autoZero"/>
        <c:auto val="1"/>
        <c:lblAlgn val="ctr"/>
        <c:lblOffset val="100"/>
        <c:tickLblSkip val="1"/>
        <c:noMultiLvlLbl val="0"/>
      </c:catAx>
      <c:valAx>
        <c:axId val="1113596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113596136"/>
        <c:crosses val="autoZero"/>
        <c:crossBetween val="between"/>
      </c:valAx>
      <c:spPr>
        <a:noFill/>
        <a:ln>
          <a:noFill/>
        </a:ln>
        <a:effectLst/>
      </c:spPr>
    </c:plotArea>
    <c:legend>
      <c:legendPos val="b"/>
      <c:layout>
        <c:manualLayout>
          <c:xMode val="edge"/>
          <c:yMode val="edge"/>
          <c:x val="3.041637747409234E-2"/>
          <c:y val="0.8777891673482856"/>
          <c:w val="0.96958362252590768"/>
          <c:h val="8.654431459553957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nb-NO" sz="1100" b="1"/>
              <a:t>Gjeld og rentekostnader som andel av disponibel inntekt</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nb-NO"/>
        </a:p>
      </c:txPr>
    </c:title>
    <c:autoTitleDeleted val="0"/>
    <c:plotArea>
      <c:layout/>
      <c:lineChart>
        <c:grouping val="standard"/>
        <c:varyColors val="0"/>
        <c:ser>
          <c:idx val="1"/>
          <c:order val="1"/>
          <c:tx>
            <c:strRef>
              <c:f>'Ark1'!$C$1</c:f>
              <c:strCache>
                <c:ptCount val="1"/>
                <c:pt idx="0">
                  <c:v>Gjeldsbelastning</c:v>
                </c:pt>
              </c:strCache>
            </c:strRef>
          </c:tx>
          <c:spPr>
            <a:ln w="28575" cap="rnd">
              <a:solidFill>
                <a:schemeClr val="accent2"/>
              </a:solidFill>
              <a:round/>
            </a:ln>
            <a:effectLst/>
          </c:spPr>
          <c:marker>
            <c:symbol val="none"/>
          </c:marker>
          <c:cat>
            <c:numRef>
              <c:f>'Ark1'!$A$2:$A$135</c:f>
              <c:numCache>
                <c:formatCode>mmm\-yy</c:formatCode>
                <c:ptCount val="134"/>
                <c:pt idx="0">
                  <c:v>32203</c:v>
                </c:pt>
                <c:pt idx="1">
                  <c:v>32295</c:v>
                </c:pt>
                <c:pt idx="2">
                  <c:v>32387</c:v>
                </c:pt>
                <c:pt idx="3">
                  <c:v>32478</c:v>
                </c:pt>
                <c:pt idx="4">
                  <c:v>32568</c:v>
                </c:pt>
                <c:pt idx="5">
                  <c:v>32660</c:v>
                </c:pt>
                <c:pt idx="6">
                  <c:v>32752</c:v>
                </c:pt>
                <c:pt idx="7">
                  <c:v>32843</c:v>
                </c:pt>
                <c:pt idx="8">
                  <c:v>32933</c:v>
                </c:pt>
                <c:pt idx="9">
                  <c:v>33025</c:v>
                </c:pt>
                <c:pt idx="10">
                  <c:v>33117</c:v>
                </c:pt>
                <c:pt idx="11">
                  <c:v>33208</c:v>
                </c:pt>
                <c:pt idx="12">
                  <c:v>33298</c:v>
                </c:pt>
                <c:pt idx="13">
                  <c:v>33390</c:v>
                </c:pt>
                <c:pt idx="14">
                  <c:v>33482</c:v>
                </c:pt>
                <c:pt idx="15">
                  <c:v>33573</c:v>
                </c:pt>
                <c:pt idx="16">
                  <c:v>33664</c:v>
                </c:pt>
                <c:pt idx="17">
                  <c:v>33756</c:v>
                </c:pt>
                <c:pt idx="18">
                  <c:v>33848</c:v>
                </c:pt>
                <c:pt idx="19">
                  <c:v>33939</c:v>
                </c:pt>
                <c:pt idx="20">
                  <c:v>34029</c:v>
                </c:pt>
                <c:pt idx="21">
                  <c:v>34121</c:v>
                </c:pt>
                <c:pt idx="22">
                  <c:v>34213</c:v>
                </c:pt>
                <c:pt idx="23">
                  <c:v>34304</c:v>
                </c:pt>
                <c:pt idx="24">
                  <c:v>34394</c:v>
                </c:pt>
                <c:pt idx="25">
                  <c:v>34486</c:v>
                </c:pt>
                <c:pt idx="26">
                  <c:v>34578</c:v>
                </c:pt>
                <c:pt idx="27">
                  <c:v>34669</c:v>
                </c:pt>
                <c:pt idx="28">
                  <c:v>34759</c:v>
                </c:pt>
                <c:pt idx="29">
                  <c:v>34851</c:v>
                </c:pt>
                <c:pt idx="30">
                  <c:v>34943</c:v>
                </c:pt>
                <c:pt idx="31">
                  <c:v>35034</c:v>
                </c:pt>
                <c:pt idx="32">
                  <c:v>35125</c:v>
                </c:pt>
                <c:pt idx="33">
                  <c:v>35217</c:v>
                </c:pt>
                <c:pt idx="34">
                  <c:v>35309</c:v>
                </c:pt>
                <c:pt idx="35">
                  <c:v>35400</c:v>
                </c:pt>
                <c:pt idx="36">
                  <c:v>35490</c:v>
                </c:pt>
                <c:pt idx="37">
                  <c:v>35582</c:v>
                </c:pt>
                <c:pt idx="38">
                  <c:v>35674</c:v>
                </c:pt>
                <c:pt idx="39">
                  <c:v>35765</c:v>
                </c:pt>
                <c:pt idx="40">
                  <c:v>35855</c:v>
                </c:pt>
                <c:pt idx="41">
                  <c:v>35947</c:v>
                </c:pt>
                <c:pt idx="42">
                  <c:v>36039</c:v>
                </c:pt>
                <c:pt idx="43">
                  <c:v>36130</c:v>
                </c:pt>
                <c:pt idx="44">
                  <c:v>36220</c:v>
                </c:pt>
                <c:pt idx="45">
                  <c:v>36312</c:v>
                </c:pt>
                <c:pt idx="46">
                  <c:v>36404</c:v>
                </c:pt>
                <c:pt idx="47">
                  <c:v>36495</c:v>
                </c:pt>
                <c:pt idx="48">
                  <c:v>36586</c:v>
                </c:pt>
                <c:pt idx="49">
                  <c:v>36678</c:v>
                </c:pt>
                <c:pt idx="50">
                  <c:v>36770</c:v>
                </c:pt>
                <c:pt idx="51">
                  <c:v>36861</c:v>
                </c:pt>
                <c:pt idx="52">
                  <c:v>36951</c:v>
                </c:pt>
                <c:pt idx="53">
                  <c:v>37043</c:v>
                </c:pt>
                <c:pt idx="54">
                  <c:v>37135</c:v>
                </c:pt>
                <c:pt idx="55">
                  <c:v>37226</c:v>
                </c:pt>
                <c:pt idx="56">
                  <c:v>37316</c:v>
                </c:pt>
                <c:pt idx="57">
                  <c:v>37408</c:v>
                </c:pt>
                <c:pt idx="58">
                  <c:v>37500</c:v>
                </c:pt>
                <c:pt idx="59">
                  <c:v>37591</c:v>
                </c:pt>
                <c:pt idx="60">
                  <c:v>37681</c:v>
                </c:pt>
                <c:pt idx="61">
                  <c:v>37773</c:v>
                </c:pt>
                <c:pt idx="62">
                  <c:v>37865</c:v>
                </c:pt>
                <c:pt idx="63">
                  <c:v>37956</c:v>
                </c:pt>
                <c:pt idx="64">
                  <c:v>38047</c:v>
                </c:pt>
                <c:pt idx="65">
                  <c:v>38139</c:v>
                </c:pt>
                <c:pt idx="66">
                  <c:v>38231</c:v>
                </c:pt>
                <c:pt idx="67">
                  <c:v>38322</c:v>
                </c:pt>
                <c:pt idx="68">
                  <c:v>38412</c:v>
                </c:pt>
                <c:pt idx="69">
                  <c:v>38504</c:v>
                </c:pt>
                <c:pt idx="70">
                  <c:v>38596</c:v>
                </c:pt>
                <c:pt idx="71">
                  <c:v>38687</c:v>
                </c:pt>
                <c:pt idx="72">
                  <c:v>38777</c:v>
                </c:pt>
                <c:pt idx="73">
                  <c:v>38869</c:v>
                </c:pt>
                <c:pt idx="74">
                  <c:v>38961</c:v>
                </c:pt>
                <c:pt idx="75">
                  <c:v>39052</c:v>
                </c:pt>
                <c:pt idx="76">
                  <c:v>39142</c:v>
                </c:pt>
                <c:pt idx="77">
                  <c:v>39234</c:v>
                </c:pt>
                <c:pt idx="78">
                  <c:v>39326</c:v>
                </c:pt>
                <c:pt idx="79">
                  <c:v>39417</c:v>
                </c:pt>
                <c:pt idx="80">
                  <c:v>39508</c:v>
                </c:pt>
                <c:pt idx="81">
                  <c:v>39600</c:v>
                </c:pt>
                <c:pt idx="82">
                  <c:v>39692</c:v>
                </c:pt>
                <c:pt idx="83">
                  <c:v>39783</c:v>
                </c:pt>
                <c:pt idx="84">
                  <c:v>39873</c:v>
                </c:pt>
                <c:pt idx="85">
                  <c:v>39965</c:v>
                </c:pt>
                <c:pt idx="86">
                  <c:v>40057</c:v>
                </c:pt>
                <c:pt idx="87">
                  <c:v>40148</c:v>
                </c:pt>
                <c:pt idx="88">
                  <c:v>40238</c:v>
                </c:pt>
                <c:pt idx="89">
                  <c:v>40330</c:v>
                </c:pt>
                <c:pt idx="90">
                  <c:v>40422</c:v>
                </c:pt>
                <c:pt idx="91">
                  <c:v>40513</c:v>
                </c:pt>
                <c:pt idx="92">
                  <c:v>40603</c:v>
                </c:pt>
                <c:pt idx="93">
                  <c:v>40695</c:v>
                </c:pt>
                <c:pt idx="94">
                  <c:v>40787</c:v>
                </c:pt>
                <c:pt idx="95">
                  <c:v>40878</c:v>
                </c:pt>
                <c:pt idx="96">
                  <c:v>40969</c:v>
                </c:pt>
                <c:pt idx="97">
                  <c:v>41061</c:v>
                </c:pt>
                <c:pt idx="98">
                  <c:v>41153</c:v>
                </c:pt>
                <c:pt idx="99">
                  <c:v>41244</c:v>
                </c:pt>
                <c:pt idx="100">
                  <c:v>41334</c:v>
                </c:pt>
                <c:pt idx="101">
                  <c:v>41426</c:v>
                </c:pt>
                <c:pt idx="102">
                  <c:v>41518</c:v>
                </c:pt>
                <c:pt idx="103">
                  <c:v>41609</c:v>
                </c:pt>
                <c:pt idx="104">
                  <c:v>41699</c:v>
                </c:pt>
                <c:pt idx="105">
                  <c:v>41791</c:v>
                </c:pt>
                <c:pt idx="106">
                  <c:v>41883</c:v>
                </c:pt>
                <c:pt idx="107">
                  <c:v>41974</c:v>
                </c:pt>
                <c:pt idx="108">
                  <c:v>42064</c:v>
                </c:pt>
                <c:pt idx="109">
                  <c:v>42156</c:v>
                </c:pt>
                <c:pt idx="110">
                  <c:v>42248</c:v>
                </c:pt>
                <c:pt idx="111">
                  <c:v>42339</c:v>
                </c:pt>
                <c:pt idx="112">
                  <c:v>42430</c:v>
                </c:pt>
                <c:pt idx="113">
                  <c:v>42522</c:v>
                </c:pt>
                <c:pt idx="114">
                  <c:v>42614</c:v>
                </c:pt>
                <c:pt idx="115">
                  <c:v>42705</c:v>
                </c:pt>
                <c:pt idx="116">
                  <c:v>42795</c:v>
                </c:pt>
                <c:pt idx="117">
                  <c:v>42887</c:v>
                </c:pt>
                <c:pt idx="118">
                  <c:v>42979</c:v>
                </c:pt>
                <c:pt idx="119">
                  <c:v>43070</c:v>
                </c:pt>
                <c:pt idx="120">
                  <c:v>43160</c:v>
                </c:pt>
                <c:pt idx="121">
                  <c:v>43252</c:v>
                </c:pt>
                <c:pt idx="122">
                  <c:v>43344</c:v>
                </c:pt>
                <c:pt idx="123">
                  <c:v>43435</c:v>
                </c:pt>
                <c:pt idx="124">
                  <c:v>43525</c:v>
                </c:pt>
                <c:pt idx="125">
                  <c:v>43617</c:v>
                </c:pt>
                <c:pt idx="126">
                  <c:v>43709</c:v>
                </c:pt>
                <c:pt idx="127">
                  <c:v>43800</c:v>
                </c:pt>
                <c:pt idx="128">
                  <c:v>43891</c:v>
                </c:pt>
                <c:pt idx="129">
                  <c:v>43983</c:v>
                </c:pt>
                <c:pt idx="130">
                  <c:v>44075</c:v>
                </c:pt>
                <c:pt idx="131">
                  <c:v>44166</c:v>
                </c:pt>
                <c:pt idx="132">
                  <c:v>44256</c:v>
                </c:pt>
                <c:pt idx="133">
                  <c:v>44348</c:v>
                </c:pt>
              </c:numCache>
            </c:numRef>
          </c:cat>
          <c:val>
            <c:numRef>
              <c:f>'Ark1'!$C$2:$C$135</c:f>
              <c:numCache>
                <c:formatCode>0.0</c:formatCode>
                <c:ptCount val="134"/>
                <c:pt idx="0">
                  <c:v>150.94495094697299</c:v>
                </c:pt>
                <c:pt idx="1">
                  <c:v>151.31371153761</c:v>
                </c:pt>
                <c:pt idx="2">
                  <c:v>151.623247080602</c:v>
                </c:pt>
                <c:pt idx="3">
                  <c:v>153.44411021978601</c:v>
                </c:pt>
                <c:pt idx="4">
                  <c:v>153.39125829011701</c:v>
                </c:pt>
                <c:pt idx="5">
                  <c:v>151.44647351505299</c:v>
                </c:pt>
                <c:pt idx="6">
                  <c:v>150.644544378533</c:v>
                </c:pt>
                <c:pt idx="7">
                  <c:v>147.865213549864</c:v>
                </c:pt>
                <c:pt idx="8">
                  <c:v>141.462927113994</c:v>
                </c:pt>
                <c:pt idx="9">
                  <c:v>140.367104646299</c:v>
                </c:pt>
                <c:pt idx="10">
                  <c:v>138.51504985180901</c:v>
                </c:pt>
                <c:pt idx="11">
                  <c:v>137.70006486042499</c:v>
                </c:pt>
                <c:pt idx="12">
                  <c:v>137.788858681454</c:v>
                </c:pt>
                <c:pt idx="13">
                  <c:v>135.01712416840201</c:v>
                </c:pt>
                <c:pt idx="14">
                  <c:v>132.08263247907701</c:v>
                </c:pt>
                <c:pt idx="15">
                  <c:v>129.22756440210301</c:v>
                </c:pt>
                <c:pt idx="16">
                  <c:v>127.398683540184</c:v>
                </c:pt>
                <c:pt idx="17">
                  <c:v>124.149902027599</c:v>
                </c:pt>
                <c:pt idx="18">
                  <c:v>120.49163542287501</c:v>
                </c:pt>
                <c:pt idx="19">
                  <c:v>118.882581109932</c:v>
                </c:pt>
                <c:pt idx="20">
                  <c:v>117.369124695385</c:v>
                </c:pt>
                <c:pt idx="21">
                  <c:v>113.441406159287</c:v>
                </c:pt>
                <c:pt idx="22">
                  <c:v>112.23077090356701</c:v>
                </c:pt>
                <c:pt idx="23">
                  <c:v>111.663050344911</c:v>
                </c:pt>
                <c:pt idx="24">
                  <c:v>112.56983484622199</c:v>
                </c:pt>
                <c:pt idx="25">
                  <c:v>114.48522263719499</c:v>
                </c:pt>
                <c:pt idx="26">
                  <c:v>119.44568989059201</c:v>
                </c:pt>
                <c:pt idx="27">
                  <c:v>119.924471551992</c:v>
                </c:pt>
                <c:pt idx="28">
                  <c:v>118.59538356718799</c:v>
                </c:pt>
                <c:pt idx="29">
                  <c:v>118.225336785832</c:v>
                </c:pt>
                <c:pt idx="30">
                  <c:v>118.236454793984</c:v>
                </c:pt>
                <c:pt idx="31">
                  <c:v>118.665878548637</c:v>
                </c:pt>
                <c:pt idx="32">
                  <c:v>118.78256582796</c:v>
                </c:pt>
                <c:pt idx="33">
                  <c:v>118.507917111401</c:v>
                </c:pt>
                <c:pt idx="34">
                  <c:v>118.384262228297</c:v>
                </c:pt>
                <c:pt idx="35">
                  <c:v>118.780724035842</c:v>
                </c:pt>
                <c:pt idx="36">
                  <c:v>119.020266736667</c:v>
                </c:pt>
                <c:pt idx="37">
                  <c:v>119.01525026112699</c:v>
                </c:pt>
                <c:pt idx="38">
                  <c:v>119.081323303975</c:v>
                </c:pt>
                <c:pt idx="39">
                  <c:v>120.136635253305</c:v>
                </c:pt>
                <c:pt idx="40">
                  <c:v>120.063561904265</c:v>
                </c:pt>
                <c:pt idx="41">
                  <c:v>120.697023879132</c:v>
                </c:pt>
                <c:pt idx="42">
                  <c:v>120.255686421902</c:v>
                </c:pt>
                <c:pt idx="43">
                  <c:v>119.180009911108</c:v>
                </c:pt>
                <c:pt idx="44">
                  <c:v>118.65591393563599</c:v>
                </c:pt>
                <c:pt idx="45">
                  <c:v>118.709871382369</c:v>
                </c:pt>
                <c:pt idx="46">
                  <c:v>120.177094473704</c:v>
                </c:pt>
                <c:pt idx="47">
                  <c:v>122.67041832647701</c:v>
                </c:pt>
                <c:pt idx="48">
                  <c:v>124.135389370021</c:v>
                </c:pt>
                <c:pt idx="49">
                  <c:v>126.17586241777499</c:v>
                </c:pt>
                <c:pt idx="50">
                  <c:v>127.62126365137</c:v>
                </c:pt>
                <c:pt idx="51">
                  <c:v>129.385826043403</c:v>
                </c:pt>
                <c:pt idx="52">
                  <c:v>130.83043229978099</c:v>
                </c:pt>
                <c:pt idx="53">
                  <c:v>133.14787342227501</c:v>
                </c:pt>
                <c:pt idx="54">
                  <c:v>135.49384417220401</c:v>
                </c:pt>
                <c:pt idx="55">
                  <c:v>138.07574759588201</c:v>
                </c:pt>
                <c:pt idx="56">
                  <c:v>140.88969051385399</c:v>
                </c:pt>
                <c:pt idx="57">
                  <c:v>144.423025916065</c:v>
                </c:pt>
                <c:pt idx="58">
                  <c:v>145.300376117506</c:v>
                </c:pt>
                <c:pt idx="59">
                  <c:v>147.01438019357099</c:v>
                </c:pt>
                <c:pt idx="60">
                  <c:v>147.600721616811</c:v>
                </c:pt>
                <c:pt idx="61">
                  <c:v>149.30334629645901</c:v>
                </c:pt>
                <c:pt idx="62">
                  <c:v>151.23642073048001</c:v>
                </c:pt>
                <c:pt idx="63">
                  <c:v>153.38407211408</c:v>
                </c:pt>
                <c:pt idx="64">
                  <c:v>155.11977592960301</c:v>
                </c:pt>
                <c:pt idx="65">
                  <c:v>157.87687930530399</c:v>
                </c:pt>
                <c:pt idx="66">
                  <c:v>160.60654624473699</c:v>
                </c:pt>
                <c:pt idx="67">
                  <c:v>163.90328803948501</c:v>
                </c:pt>
                <c:pt idx="68">
                  <c:v>167.15385727519501</c:v>
                </c:pt>
                <c:pt idx="69">
                  <c:v>169.87316398733799</c:v>
                </c:pt>
                <c:pt idx="70">
                  <c:v>172.75933046145499</c:v>
                </c:pt>
                <c:pt idx="71">
                  <c:v>176.082982057864</c:v>
                </c:pt>
                <c:pt idx="72">
                  <c:v>177.367968950836</c:v>
                </c:pt>
                <c:pt idx="73">
                  <c:v>180.57946924024699</c:v>
                </c:pt>
                <c:pt idx="74">
                  <c:v>183.202253737826</c:v>
                </c:pt>
                <c:pt idx="75">
                  <c:v>186.82223582073701</c:v>
                </c:pt>
                <c:pt idx="76">
                  <c:v>188.01065743950099</c:v>
                </c:pt>
                <c:pt idx="77">
                  <c:v>191.01298920377801</c:v>
                </c:pt>
                <c:pt idx="78">
                  <c:v>193.66393885770401</c:v>
                </c:pt>
                <c:pt idx="79">
                  <c:v>196.42838188040801</c:v>
                </c:pt>
                <c:pt idx="80">
                  <c:v>198.130915409018</c:v>
                </c:pt>
                <c:pt idx="81">
                  <c:v>199.09049925620499</c:v>
                </c:pt>
                <c:pt idx="82">
                  <c:v>199.90884574836701</c:v>
                </c:pt>
                <c:pt idx="83">
                  <c:v>199.61136572083299</c:v>
                </c:pt>
                <c:pt idx="84">
                  <c:v>199.59867874869701</c:v>
                </c:pt>
                <c:pt idx="85">
                  <c:v>200.12407224163599</c:v>
                </c:pt>
                <c:pt idx="86">
                  <c:v>200.05511547564501</c:v>
                </c:pt>
                <c:pt idx="87">
                  <c:v>200.35263106143501</c:v>
                </c:pt>
                <c:pt idx="88">
                  <c:v>199.16570415767401</c:v>
                </c:pt>
                <c:pt idx="89">
                  <c:v>199.76260378316201</c:v>
                </c:pt>
                <c:pt idx="90">
                  <c:v>200.68240671804199</c:v>
                </c:pt>
                <c:pt idx="91">
                  <c:v>202.89761633189599</c:v>
                </c:pt>
                <c:pt idx="92">
                  <c:v>202.54531656100599</c:v>
                </c:pt>
                <c:pt idx="93">
                  <c:v>203.77628742274501</c:v>
                </c:pt>
                <c:pt idx="94">
                  <c:v>204.62161329706501</c:v>
                </c:pt>
                <c:pt idx="95">
                  <c:v>206.082203994021</c:v>
                </c:pt>
                <c:pt idx="96">
                  <c:v>204.32355055996001</c:v>
                </c:pt>
                <c:pt idx="97">
                  <c:v>202.26688112418299</c:v>
                </c:pt>
                <c:pt idx="98">
                  <c:v>203.838442605133</c:v>
                </c:pt>
                <c:pt idx="99">
                  <c:v>205.46431809576001</c:v>
                </c:pt>
                <c:pt idx="100">
                  <c:v>205.80211598914099</c:v>
                </c:pt>
                <c:pt idx="101">
                  <c:v>205.83514120503401</c:v>
                </c:pt>
                <c:pt idx="102">
                  <c:v>206.12333492323501</c:v>
                </c:pt>
                <c:pt idx="103">
                  <c:v>207.90980629870501</c:v>
                </c:pt>
                <c:pt idx="104">
                  <c:v>208.88634954825699</c:v>
                </c:pt>
                <c:pt idx="105">
                  <c:v>210.607713706091</c:v>
                </c:pt>
                <c:pt idx="106">
                  <c:v>211.515430115394</c:v>
                </c:pt>
                <c:pt idx="107">
                  <c:v>213.04093894067699</c:v>
                </c:pt>
                <c:pt idx="108">
                  <c:v>214.07572914525599</c:v>
                </c:pt>
                <c:pt idx="109">
                  <c:v>213.26198857259399</c:v>
                </c:pt>
                <c:pt idx="110">
                  <c:v>216.015915661327</c:v>
                </c:pt>
                <c:pt idx="111">
                  <c:v>216.27246116541201</c:v>
                </c:pt>
                <c:pt idx="112">
                  <c:v>216.83536382278601</c:v>
                </c:pt>
                <c:pt idx="113">
                  <c:v>218.19223089418401</c:v>
                </c:pt>
                <c:pt idx="114">
                  <c:v>220.76688313627699</c:v>
                </c:pt>
                <c:pt idx="115">
                  <c:v>222.72672972787899</c:v>
                </c:pt>
                <c:pt idx="116">
                  <c:v>222.460062320703</c:v>
                </c:pt>
                <c:pt idx="117">
                  <c:v>223.984193907795</c:v>
                </c:pt>
                <c:pt idx="118">
                  <c:v>225.29055362854101</c:v>
                </c:pt>
                <c:pt idx="119">
                  <c:v>227.59629715149299</c:v>
                </c:pt>
                <c:pt idx="120">
                  <c:v>229.63312940922799</c:v>
                </c:pt>
                <c:pt idx="121">
                  <c:v>231.108668963605</c:v>
                </c:pt>
                <c:pt idx="122">
                  <c:v>233.45544536099001</c:v>
                </c:pt>
                <c:pt idx="123">
                  <c:v>234.16287835822499</c:v>
                </c:pt>
                <c:pt idx="124">
                  <c:v>233.762048740056</c:v>
                </c:pt>
                <c:pt idx="125">
                  <c:v>234.82140384252699</c:v>
                </c:pt>
                <c:pt idx="126">
                  <c:v>234.49593389296899</c:v>
                </c:pt>
                <c:pt idx="127">
                  <c:v>235.47114250147001</c:v>
                </c:pt>
                <c:pt idx="128">
                  <c:v>235.25054446579799</c:v>
                </c:pt>
                <c:pt idx="129">
                  <c:v>234.96584510057801</c:v>
                </c:pt>
                <c:pt idx="130">
                  <c:v>236.21295737231</c:v>
                </c:pt>
                <c:pt idx="131">
                  <c:v>236.93841632718201</c:v>
                </c:pt>
                <c:pt idx="132">
                  <c:v>236.57203762917601</c:v>
                </c:pt>
                <c:pt idx="133">
                  <c:v>236.78643541573399</c:v>
                </c:pt>
              </c:numCache>
            </c:numRef>
          </c:val>
          <c:smooth val="0"/>
          <c:extLst>
            <c:ext xmlns:c16="http://schemas.microsoft.com/office/drawing/2014/chart" uri="{C3380CC4-5D6E-409C-BE32-E72D297353CC}">
              <c16:uniqueId val="{00000001-C11A-4044-ADFC-664CC5BBDAA2}"/>
            </c:ext>
          </c:extLst>
        </c:ser>
        <c:dLbls>
          <c:showLegendKey val="0"/>
          <c:showVal val="0"/>
          <c:showCatName val="0"/>
          <c:showSerName val="0"/>
          <c:showPercent val="0"/>
          <c:showBubbleSize val="0"/>
        </c:dLbls>
        <c:marker val="1"/>
        <c:smooth val="0"/>
        <c:axId val="1116164464"/>
        <c:axId val="1116161512"/>
      </c:lineChart>
      <c:lineChart>
        <c:grouping val="standard"/>
        <c:varyColors val="0"/>
        <c:ser>
          <c:idx val="0"/>
          <c:order val="0"/>
          <c:tx>
            <c:strRef>
              <c:f>'Ark1'!$B$1</c:f>
              <c:strCache>
                <c:ptCount val="1"/>
                <c:pt idx="0">
                  <c:v>Rentebelastning (høyre akse)</c:v>
                </c:pt>
              </c:strCache>
            </c:strRef>
          </c:tx>
          <c:spPr>
            <a:ln w="28575" cap="rnd">
              <a:solidFill>
                <a:schemeClr val="accent1"/>
              </a:solidFill>
              <a:round/>
            </a:ln>
            <a:effectLst/>
          </c:spPr>
          <c:marker>
            <c:symbol val="none"/>
          </c:marker>
          <c:cat>
            <c:numRef>
              <c:f>'Ark1'!$A$2:$A$135</c:f>
              <c:numCache>
                <c:formatCode>mmm\-yy</c:formatCode>
                <c:ptCount val="134"/>
                <c:pt idx="0">
                  <c:v>32203</c:v>
                </c:pt>
                <c:pt idx="1">
                  <c:v>32295</c:v>
                </c:pt>
                <c:pt idx="2">
                  <c:v>32387</c:v>
                </c:pt>
                <c:pt idx="3">
                  <c:v>32478</c:v>
                </c:pt>
                <c:pt idx="4">
                  <c:v>32568</c:v>
                </c:pt>
                <c:pt idx="5">
                  <c:v>32660</c:v>
                </c:pt>
                <c:pt idx="6">
                  <c:v>32752</c:v>
                </c:pt>
                <c:pt idx="7">
                  <c:v>32843</c:v>
                </c:pt>
                <c:pt idx="8">
                  <c:v>32933</c:v>
                </c:pt>
                <c:pt idx="9">
                  <c:v>33025</c:v>
                </c:pt>
                <c:pt idx="10">
                  <c:v>33117</c:v>
                </c:pt>
                <c:pt idx="11">
                  <c:v>33208</c:v>
                </c:pt>
                <c:pt idx="12">
                  <c:v>33298</c:v>
                </c:pt>
                <c:pt idx="13">
                  <c:v>33390</c:v>
                </c:pt>
                <c:pt idx="14">
                  <c:v>33482</c:v>
                </c:pt>
                <c:pt idx="15">
                  <c:v>33573</c:v>
                </c:pt>
                <c:pt idx="16">
                  <c:v>33664</c:v>
                </c:pt>
                <c:pt idx="17">
                  <c:v>33756</c:v>
                </c:pt>
                <c:pt idx="18">
                  <c:v>33848</c:v>
                </c:pt>
                <c:pt idx="19">
                  <c:v>33939</c:v>
                </c:pt>
                <c:pt idx="20">
                  <c:v>34029</c:v>
                </c:pt>
                <c:pt idx="21">
                  <c:v>34121</c:v>
                </c:pt>
                <c:pt idx="22">
                  <c:v>34213</c:v>
                </c:pt>
                <c:pt idx="23">
                  <c:v>34304</c:v>
                </c:pt>
                <c:pt idx="24">
                  <c:v>34394</c:v>
                </c:pt>
                <c:pt idx="25">
                  <c:v>34486</c:v>
                </c:pt>
                <c:pt idx="26">
                  <c:v>34578</c:v>
                </c:pt>
                <c:pt idx="27">
                  <c:v>34669</c:v>
                </c:pt>
                <c:pt idx="28">
                  <c:v>34759</c:v>
                </c:pt>
                <c:pt idx="29">
                  <c:v>34851</c:v>
                </c:pt>
                <c:pt idx="30">
                  <c:v>34943</c:v>
                </c:pt>
                <c:pt idx="31">
                  <c:v>35034</c:v>
                </c:pt>
                <c:pt idx="32">
                  <c:v>35125</c:v>
                </c:pt>
                <c:pt idx="33">
                  <c:v>35217</c:v>
                </c:pt>
                <c:pt idx="34">
                  <c:v>35309</c:v>
                </c:pt>
                <c:pt idx="35">
                  <c:v>35400</c:v>
                </c:pt>
                <c:pt idx="36">
                  <c:v>35490</c:v>
                </c:pt>
                <c:pt idx="37">
                  <c:v>35582</c:v>
                </c:pt>
                <c:pt idx="38">
                  <c:v>35674</c:v>
                </c:pt>
                <c:pt idx="39">
                  <c:v>35765</c:v>
                </c:pt>
                <c:pt idx="40">
                  <c:v>35855</c:v>
                </c:pt>
                <c:pt idx="41">
                  <c:v>35947</c:v>
                </c:pt>
                <c:pt idx="42">
                  <c:v>36039</c:v>
                </c:pt>
                <c:pt idx="43">
                  <c:v>36130</c:v>
                </c:pt>
                <c:pt idx="44">
                  <c:v>36220</c:v>
                </c:pt>
                <c:pt idx="45">
                  <c:v>36312</c:v>
                </c:pt>
                <c:pt idx="46">
                  <c:v>36404</c:v>
                </c:pt>
                <c:pt idx="47">
                  <c:v>36495</c:v>
                </c:pt>
                <c:pt idx="48">
                  <c:v>36586</c:v>
                </c:pt>
                <c:pt idx="49">
                  <c:v>36678</c:v>
                </c:pt>
                <c:pt idx="50">
                  <c:v>36770</c:v>
                </c:pt>
                <c:pt idx="51">
                  <c:v>36861</c:v>
                </c:pt>
                <c:pt idx="52">
                  <c:v>36951</c:v>
                </c:pt>
                <c:pt idx="53">
                  <c:v>37043</c:v>
                </c:pt>
                <c:pt idx="54">
                  <c:v>37135</c:v>
                </c:pt>
                <c:pt idx="55">
                  <c:v>37226</c:v>
                </c:pt>
                <c:pt idx="56">
                  <c:v>37316</c:v>
                </c:pt>
                <c:pt idx="57">
                  <c:v>37408</c:v>
                </c:pt>
                <c:pt idx="58">
                  <c:v>37500</c:v>
                </c:pt>
                <c:pt idx="59">
                  <c:v>37591</c:v>
                </c:pt>
                <c:pt idx="60">
                  <c:v>37681</c:v>
                </c:pt>
                <c:pt idx="61">
                  <c:v>37773</c:v>
                </c:pt>
                <c:pt idx="62">
                  <c:v>37865</c:v>
                </c:pt>
                <c:pt idx="63">
                  <c:v>37956</c:v>
                </c:pt>
                <c:pt idx="64">
                  <c:v>38047</c:v>
                </c:pt>
                <c:pt idx="65">
                  <c:v>38139</c:v>
                </c:pt>
                <c:pt idx="66">
                  <c:v>38231</c:v>
                </c:pt>
                <c:pt idx="67">
                  <c:v>38322</c:v>
                </c:pt>
                <c:pt idx="68">
                  <c:v>38412</c:v>
                </c:pt>
                <c:pt idx="69">
                  <c:v>38504</c:v>
                </c:pt>
                <c:pt idx="70">
                  <c:v>38596</c:v>
                </c:pt>
                <c:pt idx="71">
                  <c:v>38687</c:v>
                </c:pt>
                <c:pt idx="72">
                  <c:v>38777</c:v>
                </c:pt>
                <c:pt idx="73">
                  <c:v>38869</c:v>
                </c:pt>
                <c:pt idx="74">
                  <c:v>38961</c:v>
                </c:pt>
                <c:pt idx="75">
                  <c:v>39052</c:v>
                </c:pt>
                <c:pt idx="76">
                  <c:v>39142</c:v>
                </c:pt>
                <c:pt idx="77">
                  <c:v>39234</c:v>
                </c:pt>
                <c:pt idx="78">
                  <c:v>39326</c:v>
                </c:pt>
                <c:pt idx="79">
                  <c:v>39417</c:v>
                </c:pt>
                <c:pt idx="80">
                  <c:v>39508</c:v>
                </c:pt>
                <c:pt idx="81">
                  <c:v>39600</c:v>
                </c:pt>
                <c:pt idx="82">
                  <c:v>39692</c:v>
                </c:pt>
                <c:pt idx="83">
                  <c:v>39783</c:v>
                </c:pt>
                <c:pt idx="84">
                  <c:v>39873</c:v>
                </c:pt>
                <c:pt idx="85">
                  <c:v>39965</c:v>
                </c:pt>
                <c:pt idx="86">
                  <c:v>40057</c:v>
                </c:pt>
                <c:pt idx="87">
                  <c:v>40148</c:v>
                </c:pt>
                <c:pt idx="88">
                  <c:v>40238</c:v>
                </c:pt>
                <c:pt idx="89">
                  <c:v>40330</c:v>
                </c:pt>
                <c:pt idx="90">
                  <c:v>40422</c:v>
                </c:pt>
                <c:pt idx="91">
                  <c:v>40513</c:v>
                </c:pt>
                <c:pt idx="92">
                  <c:v>40603</c:v>
                </c:pt>
                <c:pt idx="93">
                  <c:v>40695</c:v>
                </c:pt>
                <c:pt idx="94">
                  <c:v>40787</c:v>
                </c:pt>
                <c:pt idx="95">
                  <c:v>40878</c:v>
                </c:pt>
                <c:pt idx="96">
                  <c:v>40969</c:v>
                </c:pt>
                <c:pt idx="97">
                  <c:v>41061</c:v>
                </c:pt>
                <c:pt idx="98">
                  <c:v>41153</c:v>
                </c:pt>
                <c:pt idx="99">
                  <c:v>41244</c:v>
                </c:pt>
                <c:pt idx="100">
                  <c:v>41334</c:v>
                </c:pt>
                <c:pt idx="101">
                  <c:v>41426</c:v>
                </c:pt>
                <c:pt idx="102">
                  <c:v>41518</c:v>
                </c:pt>
                <c:pt idx="103">
                  <c:v>41609</c:v>
                </c:pt>
                <c:pt idx="104">
                  <c:v>41699</c:v>
                </c:pt>
                <c:pt idx="105">
                  <c:v>41791</c:v>
                </c:pt>
                <c:pt idx="106">
                  <c:v>41883</c:v>
                </c:pt>
                <c:pt idx="107">
                  <c:v>41974</c:v>
                </c:pt>
                <c:pt idx="108">
                  <c:v>42064</c:v>
                </c:pt>
                <c:pt idx="109">
                  <c:v>42156</c:v>
                </c:pt>
                <c:pt idx="110">
                  <c:v>42248</c:v>
                </c:pt>
                <c:pt idx="111">
                  <c:v>42339</c:v>
                </c:pt>
                <c:pt idx="112">
                  <c:v>42430</c:v>
                </c:pt>
                <c:pt idx="113">
                  <c:v>42522</c:v>
                </c:pt>
                <c:pt idx="114">
                  <c:v>42614</c:v>
                </c:pt>
                <c:pt idx="115">
                  <c:v>42705</c:v>
                </c:pt>
                <c:pt idx="116">
                  <c:v>42795</c:v>
                </c:pt>
                <c:pt idx="117">
                  <c:v>42887</c:v>
                </c:pt>
                <c:pt idx="118">
                  <c:v>42979</c:v>
                </c:pt>
                <c:pt idx="119">
                  <c:v>43070</c:v>
                </c:pt>
                <c:pt idx="120">
                  <c:v>43160</c:v>
                </c:pt>
                <c:pt idx="121">
                  <c:v>43252</c:v>
                </c:pt>
                <c:pt idx="122">
                  <c:v>43344</c:v>
                </c:pt>
                <c:pt idx="123">
                  <c:v>43435</c:v>
                </c:pt>
                <c:pt idx="124">
                  <c:v>43525</c:v>
                </c:pt>
                <c:pt idx="125">
                  <c:v>43617</c:v>
                </c:pt>
                <c:pt idx="126">
                  <c:v>43709</c:v>
                </c:pt>
                <c:pt idx="127">
                  <c:v>43800</c:v>
                </c:pt>
                <c:pt idx="128">
                  <c:v>43891</c:v>
                </c:pt>
                <c:pt idx="129">
                  <c:v>43983</c:v>
                </c:pt>
                <c:pt idx="130">
                  <c:v>44075</c:v>
                </c:pt>
                <c:pt idx="131">
                  <c:v>44166</c:v>
                </c:pt>
                <c:pt idx="132">
                  <c:v>44256</c:v>
                </c:pt>
                <c:pt idx="133">
                  <c:v>44348</c:v>
                </c:pt>
              </c:numCache>
            </c:numRef>
          </c:cat>
          <c:val>
            <c:numRef>
              <c:f>'Ark1'!$B$2:$B$135</c:f>
              <c:numCache>
                <c:formatCode>0.0</c:formatCode>
                <c:ptCount val="134"/>
                <c:pt idx="0">
                  <c:v>17.080646204969</c:v>
                </c:pt>
                <c:pt idx="1">
                  <c:v>16.9393975081883</c:v>
                </c:pt>
                <c:pt idx="2">
                  <c:v>16.916917226487801</c:v>
                </c:pt>
                <c:pt idx="3">
                  <c:v>17.034482249771202</c:v>
                </c:pt>
                <c:pt idx="4">
                  <c:v>16.051384351001801</c:v>
                </c:pt>
                <c:pt idx="5">
                  <c:v>15.8479290119196</c:v>
                </c:pt>
                <c:pt idx="6">
                  <c:v>15.9073102335516</c:v>
                </c:pt>
                <c:pt idx="7">
                  <c:v>15.6428205773952</c:v>
                </c:pt>
                <c:pt idx="8">
                  <c:v>14.5959701225862</c:v>
                </c:pt>
                <c:pt idx="9">
                  <c:v>14.411636750421399</c:v>
                </c:pt>
                <c:pt idx="10">
                  <c:v>14.227963605209499</c:v>
                </c:pt>
                <c:pt idx="11">
                  <c:v>14.3028712264577</c:v>
                </c:pt>
                <c:pt idx="12">
                  <c:v>13.379486191934401</c:v>
                </c:pt>
                <c:pt idx="13">
                  <c:v>13.2395536521074</c:v>
                </c:pt>
                <c:pt idx="14">
                  <c:v>13.0396260885688</c:v>
                </c:pt>
                <c:pt idx="15">
                  <c:v>13.0437159784847</c:v>
                </c:pt>
                <c:pt idx="16">
                  <c:v>12.3455196724065</c:v>
                </c:pt>
                <c:pt idx="17">
                  <c:v>12.228412702617501</c:v>
                </c:pt>
                <c:pt idx="18">
                  <c:v>11.8643265467144</c:v>
                </c:pt>
                <c:pt idx="19">
                  <c:v>11.9275813986476</c:v>
                </c:pt>
                <c:pt idx="20">
                  <c:v>10.010627911269401</c:v>
                </c:pt>
                <c:pt idx="21">
                  <c:v>9.9281449085803697</c:v>
                </c:pt>
                <c:pt idx="22">
                  <c:v>9.8680343930235992</c:v>
                </c:pt>
                <c:pt idx="23">
                  <c:v>9.8275608077551198</c:v>
                </c:pt>
                <c:pt idx="24">
                  <c:v>7.89918757703464</c:v>
                </c:pt>
                <c:pt idx="25">
                  <c:v>7.9972301173372697</c:v>
                </c:pt>
                <c:pt idx="26">
                  <c:v>8.2359609612685496</c:v>
                </c:pt>
                <c:pt idx="27">
                  <c:v>8.2586093769929505</c:v>
                </c:pt>
                <c:pt idx="28">
                  <c:v>7.7541954566736901</c:v>
                </c:pt>
                <c:pt idx="29">
                  <c:v>7.7842073719364304</c:v>
                </c:pt>
                <c:pt idx="30">
                  <c:v>7.6841583023129898</c:v>
                </c:pt>
                <c:pt idx="31">
                  <c:v>7.9215841501503004</c:v>
                </c:pt>
                <c:pt idx="32">
                  <c:v>7.9464680080603198</c:v>
                </c:pt>
                <c:pt idx="33">
                  <c:v>7.7775177611667603</c:v>
                </c:pt>
                <c:pt idx="34">
                  <c:v>7.6337485865696797</c:v>
                </c:pt>
                <c:pt idx="35">
                  <c:v>7.5315218354855098</c:v>
                </c:pt>
                <c:pt idx="36">
                  <c:v>6.7222977428370001</c:v>
                </c:pt>
                <c:pt idx="37">
                  <c:v>6.57785745885643</c:v>
                </c:pt>
                <c:pt idx="38">
                  <c:v>6.5424501590565702</c:v>
                </c:pt>
                <c:pt idx="39">
                  <c:v>6.4756479030836198</c:v>
                </c:pt>
                <c:pt idx="40">
                  <c:v>7.6296789923191799</c:v>
                </c:pt>
                <c:pt idx="41">
                  <c:v>7.4932485963418296</c:v>
                </c:pt>
                <c:pt idx="42">
                  <c:v>7.32870806098438</c:v>
                </c:pt>
                <c:pt idx="43">
                  <c:v>7.2284564429411002</c:v>
                </c:pt>
                <c:pt idx="44">
                  <c:v>8.6532892670199502</c:v>
                </c:pt>
                <c:pt idx="45">
                  <c:v>8.5854144616599903</c:v>
                </c:pt>
                <c:pt idx="46">
                  <c:v>8.5823666537832306</c:v>
                </c:pt>
                <c:pt idx="47">
                  <c:v>8.5259448774618303</c:v>
                </c:pt>
                <c:pt idx="48">
                  <c:v>8.8271629593427097</c:v>
                </c:pt>
                <c:pt idx="49">
                  <c:v>8.6831686877013095</c:v>
                </c:pt>
                <c:pt idx="50">
                  <c:v>8.5864057420432296</c:v>
                </c:pt>
                <c:pt idx="51">
                  <c:v>8.5594447835829204</c:v>
                </c:pt>
                <c:pt idx="52">
                  <c:v>9.9103833754785899</c:v>
                </c:pt>
                <c:pt idx="53">
                  <c:v>9.9427814795336609</c:v>
                </c:pt>
                <c:pt idx="54">
                  <c:v>9.8982844004551804</c:v>
                </c:pt>
                <c:pt idx="55">
                  <c:v>9.7842847306012199</c:v>
                </c:pt>
                <c:pt idx="56">
                  <c:v>10.331001638919799</c:v>
                </c:pt>
                <c:pt idx="57">
                  <c:v>10.259659895859</c:v>
                </c:pt>
                <c:pt idx="58">
                  <c:v>10.015972035293</c:v>
                </c:pt>
                <c:pt idx="59">
                  <c:v>10.601410192941801</c:v>
                </c:pt>
                <c:pt idx="60">
                  <c:v>10.6347346637538</c:v>
                </c:pt>
                <c:pt idx="61">
                  <c:v>9.9014060187378305</c:v>
                </c:pt>
                <c:pt idx="62">
                  <c:v>8.0356612031677201</c:v>
                </c:pt>
                <c:pt idx="63">
                  <c:v>7.0368385444299504</c:v>
                </c:pt>
                <c:pt idx="64">
                  <c:v>6.9479058098261399</c:v>
                </c:pt>
                <c:pt idx="65">
                  <c:v>6.8111930278709103</c:v>
                </c:pt>
                <c:pt idx="66">
                  <c:v>6.3975621393495699</c:v>
                </c:pt>
                <c:pt idx="67">
                  <c:v>6.4722290916557199</c:v>
                </c:pt>
                <c:pt idx="68">
                  <c:v>6.53530699708078</c:v>
                </c:pt>
                <c:pt idx="69">
                  <c:v>6.4733688060891303</c:v>
                </c:pt>
                <c:pt idx="70">
                  <c:v>6.3231293753807396</c:v>
                </c:pt>
                <c:pt idx="71">
                  <c:v>6.5967865360204598</c:v>
                </c:pt>
                <c:pt idx="72">
                  <c:v>6.9430708580150799</c:v>
                </c:pt>
                <c:pt idx="73">
                  <c:v>7.2904955201315396</c:v>
                </c:pt>
                <c:pt idx="74">
                  <c:v>7.0014451472180097</c:v>
                </c:pt>
                <c:pt idx="75">
                  <c:v>7.6936155178597598</c:v>
                </c:pt>
                <c:pt idx="76">
                  <c:v>8.5323483983994706</c:v>
                </c:pt>
                <c:pt idx="77">
                  <c:v>9.3769503742054106</c:v>
                </c:pt>
                <c:pt idx="78">
                  <c:v>9.7160270452560393</c:v>
                </c:pt>
                <c:pt idx="79">
                  <c:v>10.7035175916192</c:v>
                </c:pt>
                <c:pt idx="80">
                  <c:v>11.634766271521499</c:v>
                </c:pt>
                <c:pt idx="81">
                  <c:v>12.2817996359133</c:v>
                </c:pt>
                <c:pt idx="82">
                  <c:v>12.338415052906999</c:v>
                </c:pt>
                <c:pt idx="83">
                  <c:v>11.9575786195969</c:v>
                </c:pt>
                <c:pt idx="84">
                  <c:v>10.5105956296557</c:v>
                </c:pt>
                <c:pt idx="85">
                  <c:v>8.6530570203127102</c:v>
                </c:pt>
                <c:pt idx="86">
                  <c:v>7.5638214562715698</c:v>
                </c:pt>
                <c:pt idx="87">
                  <c:v>7.4780943006607199</c:v>
                </c:pt>
                <c:pt idx="88">
                  <c:v>7.6295321241068397</c:v>
                </c:pt>
                <c:pt idx="89">
                  <c:v>7.8792442634879203</c:v>
                </c:pt>
                <c:pt idx="90">
                  <c:v>7.7841260062371402</c:v>
                </c:pt>
                <c:pt idx="91">
                  <c:v>7.7661686472200602</c:v>
                </c:pt>
                <c:pt idx="92">
                  <c:v>7.7971296843861699</c:v>
                </c:pt>
                <c:pt idx="93">
                  <c:v>7.9557246131494299</c:v>
                </c:pt>
                <c:pt idx="94">
                  <c:v>8.0964824865072593</c:v>
                </c:pt>
                <c:pt idx="95">
                  <c:v>8.4591566164822805</c:v>
                </c:pt>
                <c:pt idx="96">
                  <c:v>8.3919714904820797</c:v>
                </c:pt>
                <c:pt idx="97">
                  <c:v>8.2027264792558299</c:v>
                </c:pt>
                <c:pt idx="98">
                  <c:v>8.0750586406175309</c:v>
                </c:pt>
                <c:pt idx="99">
                  <c:v>8.0997787906777798</c:v>
                </c:pt>
                <c:pt idx="100">
                  <c:v>8.0823239873367196</c:v>
                </c:pt>
                <c:pt idx="101">
                  <c:v>8.4543501070616305</c:v>
                </c:pt>
                <c:pt idx="102">
                  <c:v>8.3838333605051005</c:v>
                </c:pt>
                <c:pt idx="103">
                  <c:v>8.4544173103524294</c:v>
                </c:pt>
                <c:pt idx="104">
                  <c:v>8.5030006499647701</c:v>
                </c:pt>
                <c:pt idx="105">
                  <c:v>8.3640620876794198</c:v>
                </c:pt>
                <c:pt idx="106">
                  <c:v>8.1257369058073792</c:v>
                </c:pt>
                <c:pt idx="107">
                  <c:v>7.9176391167328104</c:v>
                </c:pt>
                <c:pt idx="108">
                  <c:v>7.4821821906777499</c:v>
                </c:pt>
                <c:pt idx="109">
                  <c:v>7.0668745891667504</c:v>
                </c:pt>
                <c:pt idx="110">
                  <c:v>6.9181760508630203</c:v>
                </c:pt>
                <c:pt idx="111">
                  <c:v>6.3340755056094302</c:v>
                </c:pt>
                <c:pt idx="112">
                  <c:v>6.5458760984031903</c:v>
                </c:pt>
                <c:pt idx="113">
                  <c:v>5.9492584407259397</c:v>
                </c:pt>
                <c:pt idx="114">
                  <c:v>6.3092814070763801</c:v>
                </c:pt>
                <c:pt idx="115">
                  <c:v>6.1260755546593098</c:v>
                </c:pt>
                <c:pt idx="116">
                  <c:v>6.4303772285603698</c:v>
                </c:pt>
                <c:pt idx="117">
                  <c:v>6.1786499720625701</c:v>
                </c:pt>
                <c:pt idx="118">
                  <c:v>6.5404719151102597</c:v>
                </c:pt>
                <c:pt idx="119">
                  <c:v>6.4091588511355297</c:v>
                </c:pt>
                <c:pt idx="120">
                  <c:v>6.5299897727412102</c:v>
                </c:pt>
                <c:pt idx="121">
                  <c:v>6.0838711442269702</c:v>
                </c:pt>
                <c:pt idx="122">
                  <c:v>6.4968610882827402</c:v>
                </c:pt>
                <c:pt idx="123">
                  <c:v>6.6195000252514999</c:v>
                </c:pt>
                <c:pt idx="124">
                  <c:v>6.73886873090236</c:v>
                </c:pt>
                <c:pt idx="125">
                  <c:v>6.7468844867641602</c:v>
                </c:pt>
                <c:pt idx="126">
                  <c:v>7.3870978451759397</c:v>
                </c:pt>
                <c:pt idx="127">
                  <c:v>7.5683753167937704</c:v>
                </c:pt>
                <c:pt idx="128">
                  <c:v>7.5259189381013201</c:v>
                </c:pt>
                <c:pt idx="129">
                  <c:v>5.1507258874955797</c:v>
                </c:pt>
                <c:pt idx="130">
                  <c:v>5.3431799163610698</c:v>
                </c:pt>
                <c:pt idx="131">
                  <c:v>5.1070039530869096</c:v>
                </c:pt>
                <c:pt idx="132">
                  <c:v>5.1607562595247103</c:v>
                </c:pt>
                <c:pt idx="133">
                  <c:v>4.7097589712950203</c:v>
                </c:pt>
              </c:numCache>
            </c:numRef>
          </c:val>
          <c:smooth val="0"/>
          <c:extLst>
            <c:ext xmlns:c16="http://schemas.microsoft.com/office/drawing/2014/chart" uri="{C3380CC4-5D6E-409C-BE32-E72D297353CC}">
              <c16:uniqueId val="{00000000-C11A-4044-ADFC-664CC5BBDAA2}"/>
            </c:ext>
          </c:extLst>
        </c:ser>
        <c:dLbls>
          <c:showLegendKey val="0"/>
          <c:showVal val="0"/>
          <c:showCatName val="0"/>
          <c:showSerName val="0"/>
          <c:showPercent val="0"/>
          <c:showBubbleSize val="0"/>
        </c:dLbls>
        <c:marker val="1"/>
        <c:smooth val="0"/>
        <c:axId val="866092512"/>
        <c:axId val="614540440"/>
      </c:lineChart>
      <c:dateAx>
        <c:axId val="111616446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116161512"/>
        <c:crosses val="autoZero"/>
        <c:auto val="1"/>
        <c:lblOffset val="100"/>
        <c:baseTimeUnit val="months"/>
        <c:majorUnit val="3"/>
        <c:majorTimeUnit val="years"/>
        <c:minorUnit val="1"/>
        <c:minorTimeUnit val="months"/>
      </c:dateAx>
      <c:valAx>
        <c:axId val="1116161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116164464"/>
        <c:crosses val="autoZero"/>
        <c:crossBetween val="between"/>
      </c:valAx>
      <c:valAx>
        <c:axId val="6145404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66092512"/>
        <c:crosses val="max"/>
        <c:crossBetween val="between"/>
      </c:valAx>
      <c:dateAx>
        <c:axId val="866092512"/>
        <c:scaling>
          <c:orientation val="minMax"/>
        </c:scaling>
        <c:delete val="1"/>
        <c:axPos val="b"/>
        <c:numFmt formatCode="mmm\-yy" sourceLinked="1"/>
        <c:majorTickMark val="out"/>
        <c:minorTickMark val="none"/>
        <c:tickLblPos val="nextTo"/>
        <c:crossAx val="61454044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nb-NO"/>
              <a:t>Sysselsatte i prosent av befolkningen</a:t>
            </a:r>
            <a:r>
              <a:rPr lang="nb-NO" baseline="0"/>
              <a:t> (AKU)</a:t>
            </a:r>
            <a:r>
              <a:rPr lang="nb-NO"/>
              <a:t>, 15-74 år, sesongjusert</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Sysselsatte i prosent av befolkningen, 15-74 år, sesongjusert</c:v>
                </c:pt>
              </c:strCache>
            </c:strRef>
          </c:tx>
          <c:spPr>
            <a:ln w="28575" cap="rnd">
              <a:solidFill>
                <a:schemeClr val="accent1"/>
              </a:solidFill>
              <a:round/>
            </a:ln>
            <a:effectLst/>
          </c:spPr>
          <c:marker>
            <c:symbol val="none"/>
          </c:marker>
          <c:cat>
            <c:strRef>
              <c:f>'Ark1'!$A$2:$A$183</c:f>
              <c:strCache>
                <c:ptCount val="182"/>
                <c:pt idx="0">
                  <c:v>2007M01</c:v>
                </c:pt>
                <c:pt idx="1">
                  <c:v>2007M02</c:v>
                </c:pt>
                <c:pt idx="2">
                  <c:v>2007M03</c:v>
                </c:pt>
                <c:pt idx="3">
                  <c:v>2007M04</c:v>
                </c:pt>
                <c:pt idx="4">
                  <c:v>2007M05</c:v>
                </c:pt>
                <c:pt idx="5">
                  <c:v>2007M06</c:v>
                </c:pt>
                <c:pt idx="6">
                  <c:v>2007M07</c:v>
                </c:pt>
                <c:pt idx="7">
                  <c:v>2007M08</c:v>
                </c:pt>
                <c:pt idx="8">
                  <c:v>2007M09</c:v>
                </c:pt>
                <c:pt idx="9">
                  <c:v>2007M10</c:v>
                </c:pt>
                <c:pt idx="10">
                  <c:v>2007M11</c:v>
                </c:pt>
                <c:pt idx="11">
                  <c:v>2007M12</c:v>
                </c:pt>
                <c:pt idx="12">
                  <c:v>2008M01</c:v>
                </c:pt>
                <c:pt idx="13">
                  <c:v>2008M02</c:v>
                </c:pt>
                <c:pt idx="14">
                  <c:v>2008M03</c:v>
                </c:pt>
                <c:pt idx="15">
                  <c:v>2008M04</c:v>
                </c:pt>
                <c:pt idx="16">
                  <c:v>2008M05</c:v>
                </c:pt>
                <c:pt idx="17">
                  <c:v>2008M06</c:v>
                </c:pt>
                <c:pt idx="18">
                  <c:v>2008M07</c:v>
                </c:pt>
                <c:pt idx="19">
                  <c:v>2008M08</c:v>
                </c:pt>
                <c:pt idx="20">
                  <c:v>2008M09</c:v>
                </c:pt>
                <c:pt idx="21">
                  <c:v>2008M10</c:v>
                </c:pt>
                <c:pt idx="22">
                  <c:v>2008M11</c:v>
                </c:pt>
                <c:pt idx="23">
                  <c:v>2008M12</c:v>
                </c:pt>
                <c:pt idx="24">
                  <c:v>2009M01</c:v>
                </c:pt>
                <c:pt idx="25">
                  <c:v>2009M02</c:v>
                </c:pt>
                <c:pt idx="26">
                  <c:v>2009M03</c:v>
                </c:pt>
                <c:pt idx="27">
                  <c:v>2009M04</c:v>
                </c:pt>
                <c:pt idx="28">
                  <c:v>2009M05</c:v>
                </c:pt>
                <c:pt idx="29">
                  <c:v>2009M06</c:v>
                </c:pt>
                <c:pt idx="30">
                  <c:v>2009M07</c:v>
                </c:pt>
                <c:pt idx="31">
                  <c:v>2009M08</c:v>
                </c:pt>
                <c:pt idx="32">
                  <c:v>2009M09</c:v>
                </c:pt>
                <c:pt idx="33">
                  <c:v>2009M10</c:v>
                </c:pt>
                <c:pt idx="34">
                  <c:v>2009M11</c:v>
                </c:pt>
                <c:pt idx="35">
                  <c:v>2009M12</c:v>
                </c:pt>
                <c:pt idx="36">
                  <c:v>2010M01</c:v>
                </c:pt>
                <c:pt idx="37">
                  <c:v>2010M02</c:v>
                </c:pt>
                <c:pt idx="38">
                  <c:v>2010M03</c:v>
                </c:pt>
                <c:pt idx="39">
                  <c:v>2010M04</c:v>
                </c:pt>
                <c:pt idx="40">
                  <c:v>2010M05</c:v>
                </c:pt>
                <c:pt idx="41">
                  <c:v>2010M06</c:v>
                </c:pt>
                <c:pt idx="42">
                  <c:v>2010M07</c:v>
                </c:pt>
                <c:pt idx="43">
                  <c:v>2010M08</c:v>
                </c:pt>
                <c:pt idx="44">
                  <c:v>2010M09</c:v>
                </c:pt>
                <c:pt idx="45">
                  <c:v>2010M10</c:v>
                </c:pt>
                <c:pt idx="46">
                  <c:v>2010M11</c:v>
                </c:pt>
                <c:pt idx="47">
                  <c:v>2010M12</c:v>
                </c:pt>
                <c:pt idx="48">
                  <c:v>2011M01</c:v>
                </c:pt>
                <c:pt idx="49">
                  <c:v>2011M02</c:v>
                </c:pt>
                <c:pt idx="50">
                  <c:v>2011M03</c:v>
                </c:pt>
                <c:pt idx="51">
                  <c:v>2011M04</c:v>
                </c:pt>
                <c:pt idx="52">
                  <c:v>2011M05</c:v>
                </c:pt>
                <c:pt idx="53">
                  <c:v>2011M06</c:v>
                </c:pt>
                <c:pt idx="54">
                  <c:v>2011M07</c:v>
                </c:pt>
                <c:pt idx="55">
                  <c:v>2011M08</c:v>
                </c:pt>
                <c:pt idx="56">
                  <c:v>2011M09</c:v>
                </c:pt>
                <c:pt idx="57">
                  <c:v>2011M10</c:v>
                </c:pt>
                <c:pt idx="58">
                  <c:v>2011M11</c:v>
                </c:pt>
                <c:pt idx="59">
                  <c:v>2011M12</c:v>
                </c:pt>
                <c:pt idx="60">
                  <c:v>2012M01</c:v>
                </c:pt>
                <c:pt idx="61">
                  <c:v>2012M02</c:v>
                </c:pt>
                <c:pt idx="62">
                  <c:v>2012M03</c:v>
                </c:pt>
                <c:pt idx="63">
                  <c:v>2012M04</c:v>
                </c:pt>
                <c:pt idx="64">
                  <c:v>2012M05</c:v>
                </c:pt>
                <c:pt idx="65">
                  <c:v>2012M06</c:v>
                </c:pt>
                <c:pt idx="66">
                  <c:v>2012M07</c:v>
                </c:pt>
                <c:pt idx="67">
                  <c:v>2012M08</c:v>
                </c:pt>
                <c:pt idx="68">
                  <c:v>2012M09</c:v>
                </c:pt>
                <c:pt idx="69">
                  <c:v>2012M10</c:v>
                </c:pt>
                <c:pt idx="70">
                  <c:v>2012M11</c:v>
                </c:pt>
                <c:pt idx="71">
                  <c:v>2012M12</c:v>
                </c:pt>
                <c:pt idx="72">
                  <c:v>2013M01</c:v>
                </c:pt>
                <c:pt idx="73">
                  <c:v>2013M02</c:v>
                </c:pt>
                <c:pt idx="74">
                  <c:v>2013M03</c:v>
                </c:pt>
                <c:pt idx="75">
                  <c:v>2013M04</c:v>
                </c:pt>
                <c:pt idx="76">
                  <c:v>2013M05</c:v>
                </c:pt>
                <c:pt idx="77">
                  <c:v>2013M06</c:v>
                </c:pt>
                <c:pt idx="78">
                  <c:v>2013M07</c:v>
                </c:pt>
                <c:pt idx="79">
                  <c:v>2013M08</c:v>
                </c:pt>
                <c:pt idx="80">
                  <c:v>2013M09</c:v>
                </c:pt>
                <c:pt idx="81">
                  <c:v>2013M10</c:v>
                </c:pt>
                <c:pt idx="82">
                  <c:v>2013M11</c:v>
                </c:pt>
                <c:pt idx="83">
                  <c:v>2013M12</c:v>
                </c:pt>
                <c:pt idx="84">
                  <c:v>2014M01</c:v>
                </c:pt>
                <c:pt idx="85">
                  <c:v>2014M02</c:v>
                </c:pt>
                <c:pt idx="86">
                  <c:v>2014M03</c:v>
                </c:pt>
                <c:pt idx="87">
                  <c:v>2014M04</c:v>
                </c:pt>
                <c:pt idx="88">
                  <c:v>2014M05</c:v>
                </c:pt>
                <c:pt idx="89">
                  <c:v>2014M06</c:v>
                </c:pt>
                <c:pt idx="90">
                  <c:v>2014M07</c:v>
                </c:pt>
                <c:pt idx="91">
                  <c:v>2014M08</c:v>
                </c:pt>
                <c:pt idx="92">
                  <c:v>2014M09</c:v>
                </c:pt>
                <c:pt idx="93">
                  <c:v>2014M10</c:v>
                </c:pt>
                <c:pt idx="94">
                  <c:v>2014M11</c:v>
                </c:pt>
                <c:pt idx="95">
                  <c:v>2014M12</c:v>
                </c:pt>
                <c:pt idx="96">
                  <c:v>2015M01</c:v>
                </c:pt>
                <c:pt idx="97">
                  <c:v>2015M02</c:v>
                </c:pt>
                <c:pt idx="98">
                  <c:v>2015M03</c:v>
                </c:pt>
                <c:pt idx="99">
                  <c:v>2015M04</c:v>
                </c:pt>
                <c:pt idx="100">
                  <c:v>2015M05</c:v>
                </c:pt>
                <c:pt idx="101">
                  <c:v>2015M06</c:v>
                </c:pt>
                <c:pt idx="102">
                  <c:v>2015M07</c:v>
                </c:pt>
                <c:pt idx="103">
                  <c:v>2015M08</c:v>
                </c:pt>
                <c:pt idx="104">
                  <c:v>2015M09</c:v>
                </c:pt>
                <c:pt idx="105">
                  <c:v>2015M10</c:v>
                </c:pt>
                <c:pt idx="106">
                  <c:v>2015M11</c:v>
                </c:pt>
                <c:pt idx="107">
                  <c:v>2015M12</c:v>
                </c:pt>
                <c:pt idx="108">
                  <c:v>2016M01</c:v>
                </c:pt>
                <c:pt idx="109">
                  <c:v>2016M02</c:v>
                </c:pt>
                <c:pt idx="110">
                  <c:v>2016M03</c:v>
                </c:pt>
                <c:pt idx="111">
                  <c:v>2016M04</c:v>
                </c:pt>
                <c:pt idx="112">
                  <c:v>2016M05</c:v>
                </c:pt>
                <c:pt idx="113">
                  <c:v>2016M06</c:v>
                </c:pt>
                <c:pt idx="114">
                  <c:v>2016M07</c:v>
                </c:pt>
                <c:pt idx="115">
                  <c:v>2016M08</c:v>
                </c:pt>
                <c:pt idx="116">
                  <c:v>2016M09</c:v>
                </c:pt>
                <c:pt idx="117">
                  <c:v>2016M10</c:v>
                </c:pt>
                <c:pt idx="118">
                  <c:v>2016M11</c:v>
                </c:pt>
                <c:pt idx="119">
                  <c:v>2016M12</c:v>
                </c:pt>
                <c:pt idx="120">
                  <c:v>2017M01</c:v>
                </c:pt>
                <c:pt idx="121">
                  <c:v>2017M02</c:v>
                </c:pt>
                <c:pt idx="122">
                  <c:v>2017M03</c:v>
                </c:pt>
                <c:pt idx="123">
                  <c:v>2017M04</c:v>
                </c:pt>
                <c:pt idx="124">
                  <c:v>2017M05</c:v>
                </c:pt>
                <c:pt idx="125">
                  <c:v>2017M06</c:v>
                </c:pt>
                <c:pt idx="126">
                  <c:v>2017M07</c:v>
                </c:pt>
                <c:pt idx="127">
                  <c:v>2017M08</c:v>
                </c:pt>
                <c:pt idx="128">
                  <c:v>2017M09</c:v>
                </c:pt>
                <c:pt idx="129">
                  <c:v>2017M10</c:v>
                </c:pt>
                <c:pt idx="130">
                  <c:v>2017M11</c:v>
                </c:pt>
                <c:pt idx="131">
                  <c:v>2017M12</c:v>
                </c:pt>
                <c:pt idx="132">
                  <c:v>2018M01</c:v>
                </c:pt>
                <c:pt idx="133">
                  <c:v>2018M02</c:v>
                </c:pt>
                <c:pt idx="134">
                  <c:v>2018M03</c:v>
                </c:pt>
                <c:pt idx="135">
                  <c:v>2018M04</c:v>
                </c:pt>
                <c:pt idx="136">
                  <c:v>2018M05</c:v>
                </c:pt>
                <c:pt idx="137">
                  <c:v>2018M06</c:v>
                </c:pt>
                <c:pt idx="138">
                  <c:v>2018M07</c:v>
                </c:pt>
                <c:pt idx="139">
                  <c:v>2018M08</c:v>
                </c:pt>
                <c:pt idx="140">
                  <c:v>2018M09</c:v>
                </c:pt>
                <c:pt idx="141">
                  <c:v>2018M10</c:v>
                </c:pt>
                <c:pt idx="142">
                  <c:v>2018M11</c:v>
                </c:pt>
                <c:pt idx="143">
                  <c:v>2018M12</c:v>
                </c:pt>
                <c:pt idx="144">
                  <c:v>2019M01</c:v>
                </c:pt>
                <c:pt idx="145">
                  <c:v>2019M02</c:v>
                </c:pt>
                <c:pt idx="146">
                  <c:v>2019M03</c:v>
                </c:pt>
                <c:pt idx="147">
                  <c:v>2019M04</c:v>
                </c:pt>
                <c:pt idx="148">
                  <c:v>2019M05</c:v>
                </c:pt>
                <c:pt idx="149">
                  <c:v>2019M06</c:v>
                </c:pt>
                <c:pt idx="150">
                  <c:v>2019M07</c:v>
                </c:pt>
                <c:pt idx="151">
                  <c:v>2019M08</c:v>
                </c:pt>
                <c:pt idx="152">
                  <c:v>2019M09</c:v>
                </c:pt>
                <c:pt idx="153">
                  <c:v>2019M10</c:v>
                </c:pt>
                <c:pt idx="154">
                  <c:v>2019M11</c:v>
                </c:pt>
                <c:pt idx="155">
                  <c:v>2019M12</c:v>
                </c:pt>
                <c:pt idx="156">
                  <c:v>2020M01</c:v>
                </c:pt>
                <c:pt idx="157">
                  <c:v>2020M02</c:v>
                </c:pt>
                <c:pt idx="158">
                  <c:v>2020M03</c:v>
                </c:pt>
                <c:pt idx="159">
                  <c:v>2020M04</c:v>
                </c:pt>
                <c:pt idx="160">
                  <c:v>2020M05</c:v>
                </c:pt>
                <c:pt idx="161">
                  <c:v>2020M06</c:v>
                </c:pt>
                <c:pt idx="162">
                  <c:v>2020M07</c:v>
                </c:pt>
                <c:pt idx="163">
                  <c:v>2020M08</c:v>
                </c:pt>
                <c:pt idx="164">
                  <c:v>2020M09</c:v>
                </c:pt>
                <c:pt idx="165">
                  <c:v>2020M10</c:v>
                </c:pt>
                <c:pt idx="166">
                  <c:v>2020M11</c:v>
                </c:pt>
                <c:pt idx="167">
                  <c:v>2020M12</c:v>
                </c:pt>
                <c:pt idx="168">
                  <c:v>2021M01</c:v>
                </c:pt>
                <c:pt idx="169">
                  <c:v>2021M02</c:v>
                </c:pt>
                <c:pt idx="170">
                  <c:v>2021M03</c:v>
                </c:pt>
                <c:pt idx="171">
                  <c:v>2021M04</c:v>
                </c:pt>
                <c:pt idx="172">
                  <c:v>2021M05</c:v>
                </c:pt>
                <c:pt idx="173">
                  <c:v>2021M06</c:v>
                </c:pt>
                <c:pt idx="174">
                  <c:v>2021M07</c:v>
                </c:pt>
                <c:pt idx="175">
                  <c:v>2021M08</c:v>
                </c:pt>
                <c:pt idx="176">
                  <c:v>2021M09</c:v>
                </c:pt>
                <c:pt idx="177">
                  <c:v>2021M10</c:v>
                </c:pt>
                <c:pt idx="178">
                  <c:v>2021M11</c:v>
                </c:pt>
                <c:pt idx="179">
                  <c:v>2021M12</c:v>
                </c:pt>
                <c:pt idx="180">
                  <c:v>2022M01</c:v>
                </c:pt>
                <c:pt idx="181">
                  <c:v>2022M02</c:v>
                </c:pt>
              </c:strCache>
            </c:strRef>
          </c:cat>
          <c:val>
            <c:numRef>
              <c:f>'Ark1'!$B$2:$B$183</c:f>
              <c:numCache>
                <c:formatCode>0.0</c:formatCode>
                <c:ptCount val="182"/>
                <c:pt idx="0">
                  <c:v>70.099999999999994</c:v>
                </c:pt>
                <c:pt idx="1">
                  <c:v>70.2</c:v>
                </c:pt>
                <c:pt idx="2">
                  <c:v>70.2</c:v>
                </c:pt>
                <c:pt idx="3">
                  <c:v>70.3</c:v>
                </c:pt>
                <c:pt idx="4">
                  <c:v>70.5</c:v>
                </c:pt>
                <c:pt idx="5">
                  <c:v>70.7</c:v>
                </c:pt>
                <c:pt idx="6">
                  <c:v>70.900000000000006</c:v>
                </c:pt>
                <c:pt idx="7">
                  <c:v>70.8</c:v>
                </c:pt>
                <c:pt idx="8">
                  <c:v>71</c:v>
                </c:pt>
                <c:pt idx="9">
                  <c:v>71.2</c:v>
                </c:pt>
                <c:pt idx="10">
                  <c:v>71.3</c:v>
                </c:pt>
                <c:pt idx="11">
                  <c:v>71.400000000000006</c:v>
                </c:pt>
                <c:pt idx="12">
                  <c:v>71.5</c:v>
                </c:pt>
                <c:pt idx="13">
                  <c:v>71.7</c:v>
                </c:pt>
                <c:pt idx="14">
                  <c:v>71.7</c:v>
                </c:pt>
                <c:pt idx="15">
                  <c:v>71.599999999999994</c:v>
                </c:pt>
                <c:pt idx="16">
                  <c:v>71.5</c:v>
                </c:pt>
                <c:pt idx="17">
                  <c:v>71.5</c:v>
                </c:pt>
                <c:pt idx="18">
                  <c:v>71.599999999999994</c:v>
                </c:pt>
                <c:pt idx="19">
                  <c:v>71.7</c:v>
                </c:pt>
                <c:pt idx="20">
                  <c:v>71.3</c:v>
                </c:pt>
                <c:pt idx="21">
                  <c:v>71.099999999999994</c:v>
                </c:pt>
                <c:pt idx="22">
                  <c:v>71</c:v>
                </c:pt>
                <c:pt idx="23">
                  <c:v>71.099999999999994</c:v>
                </c:pt>
                <c:pt idx="24">
                  <c:v>70.900000000000006</c:v>
                </c:pt>
                <c:pt idx="25">
                  <c:v>70.900000000000006</c:v>
                </c:pt>
                <c:pt idx="26">
                  <c:v>70.8</c:v>
                </c:pt>
                <c:pt idx="27">
                  <c:v>70.7</c:v>
                </c:pt>
                <c:pt idx="28">
                  <c:v>70.5</c:v>
                </c:pt>
                <c:pt idx="29">
                  <c:v>70.3</c:v>
                </c:pt>
                <c:pt idx="30">
                  <c:v>70.099999999999994</c:v>
                </c:pt>
                <c:pt idx="31">
                  <c:v>69.8</c:v>
                </c:pt>
                <c:pt idx="32">
                  <c:v>69.599999999999994</c:v>
                </c:pt>
                <c:pt idx="33">
                  <c:v>69.400000000000006</c:v>
                </c:pt>
                <c:pt idx="34">
                  <c:v>69.3</c:v>
                </c:pt>
                <c:pt idx="35">
                  <c:v>69.2</c:v>
                </c:pt>
                <c:pt idx="36">
                  <c:v>69.3</c:v>
                </c:pt>
                <c:pt idx="37">
                  <c:v>69.099999999999994</c:v>
                </c:pt>
                <c:pt idx="38">
                  <c:v>68.900000000000006</c:v>
                </c:pt>
                <c:pt idx="39">
                  <c:v>68.8</c:v>
                </c:pt>
                <c:pt idx="40">
                  <c:v>69.099999999999994</c:v>
                </c:pt>
                <c:pt idx="41">
                  <c:v>69.3</c:v>
                </c:pt>
                <c:pt idx="42">
                  <c:v>69.2</c:v>
                </c:pt>
                <c:pt idx="43">
                  <c:v>69</c:v>
                </c:pt>
                <c:pt idx="44">
                  <c:v>68.900000000000006</c:v>
                </c:pt>
                <c:pt idx="45">
                  <c:v>69</c:v>
                </c:pt>
                <c:pt idx="46">
                  <c:v>68.900000000000006</c:v>
                </c:pt>
                <c:pt idx="47">
                  <c:v>68.900000000000006</c:v>
                </c:pt>
                <c:pt idx="48">
                  <c:v>68.8</c:v>
                </c:pt>
                <c:pt idx="49">
                  <c:v>68.900000000000006</c:v>
                </c:pt>
                <c:pt idx="50">
                  <c:v>68.900000000000006</c:v>
                </c:pt>
                <c:pt idx="51">
                  <c:v>69</c:v>
                </c:pt>
                <c:pt idx="52">
                  <c:v>69</c:v>
                </c:pt>
                <c:pt idx="53">
                  <c:v>69.099999999999994</c:v>
                </c:pt>
                <c:pt idx="54">
                  <c:v>69</c:v>
                </c:pt>
                <c:pt idx="55">
                  <c:v>69.2</c:v>
                </c:pt>
                <c:pt idx="56">
                  <c:v>69.099999999999994</c:v>
                </c:pt>
                <c:pt idx="57">
                  <c:v>69</c:v>
                </c:pt>
                <c:pt idx="58">
                  <c:v>69</c:v>
                </c:pt>
                <c:pt idx="59">
                  <c:v>69.099999999999994</c:v>
                </c:pt>
                <c:pt idx="60">
                  <c:v>69.2</c:v>
                </c:pt>
                <c:pt idx="61">
                  <c:v>69.2</c:v>
                </c:pt>
                <c:pt idx="62">
                  <c:v>69.2</c:v>
                </c:pt>
                <c:pt idx="63">
                  <c:v>69.3</c:v>
                </c:pt>
                <c:pt idx="64">
                  <c:v>69.099999999999994</c:v>
                </c:pt>
                <c:pt idx="65">
                  <c:v>68.900000000000006</c:v>
                </c:pt>
                <c:pt idx="66">
                  <c:v>68.8</c:v>
                </c:pt>
                <c:pt idx="67">
                  <c:v>69</c:v>
                </c:pt>
                <c:pt idx="68">
                  <c:v>69.099999999999994</c:v>
                </c:pt>
                <c:pt idx="69">
                  <c:v>69</c:v>
                </c:pt>
                <c:pt idx="70">
                  <c:v>68.7</c:v>
                </c:pt>
                <c:pt idx="71">
                  <c:v>68.599999999999994</c:v>
                </c:pt>
                <c:pt idx="72">
                  <c:v>68.5</c:v>
                </c:pt>
                <c:pt idx="73">
                  <c:v>68.599999999999994</c:v>
                </c:pt>
                <c:pt idx="74">
                  <c:v>68.599999999999994</c:v>
                </c:pt>
                <c:pt idx="75">
                  <c:v>68.5</c:v>
                </c:pt>
                <c:pt idx="76">
                  <c:v>68.400000000000006</c:v>
                </c:pt>
                <c:pt idx="77">
                  <c:v>68.5</c:v>
                </c:pt>
                <c:pt idx="78">
                  <c:v>68.7</c:v>
                </c:pt>
                <c:pt idx="79">
                  <c:v>68.7</c:v>
                </c:pt>
                <c:pt idx="80">
                  <c:v>68.5</c:v>
                </c:pt>
                <c:pt idx="81">
                  <c:v>68.599999999999994</c:v>
                </c:pt>
                <c:pt idx="82">
                  <c:v>68.400000000000006</c:v>
                </c:pt>
                <c:pt idx="83">
                  <c:v>68.2</c:v>
                </c:pt>
                <c:pt idx="84">
                  <c:v>68.2</c:v>
                </c:pt>
                <c:pt idx="85">
                  <c:v>68.2</c:v>
                </c:pt>
                <c:pt idx="86">
                  <c:v>68.400000000000006</c:v>
                </c:pt>
                <c:pt idx="87">
                  <c:v>68.400000000000006</c:v>
                </c:pt>
                <c:pt idx="88">
                  <c:v>68.5</c:v>
                </c:pt>
                <c:pt idx="89">
                  <c:v>68.099999999999994</c:v>
                </c:pt>
                <c:pt idx="90">
                  <c:v>68.2</c:v>
                </c:pt>
                <c:pt idx="91">
                  <c:v>68</c:v>
                </c:pt>
                <c:pt idx="92">
                  <c:v>68</c:v>
                </c:pt>
                <c:pt idx="93">
                  <c:v>67.7</c:v>
                </c:pt>
                <c:pt idx="94">
                  <c:v>68</c:v>
                </c:pt>
                <c:pt idx="95">
                  <c:v>68.2</c:v>
                </c:pt>
                <c:pt idx="96">
                  <c:v>68.2</c:v>
                </c:pt>
                <c:pt idx="97">
                  <c:v>68</c:v>
                </c:pt>
                <c:pt idx="98">
                  <c:v>67.900000000000006</c:v>
                </c:pt>
                <c:pt idx="99">
                  <c:v>68</c:v>
                </c:pt>
                <c:pt idx="100">
                  <c:v>68.099999999999994</c:v>
                </c:pt>
                <c:pt idx="101">
                  <c:v>67.8</c:v>
                </c:pt>
                <c:pt idx="102">
                  <c:v>67.7</c:v>
                </c:pt>
                <c:pt idx="103">
                  <c:v>67.599999999999994</c:v>
                </c:pt>
                <c:pt idx="104">
                  <c:v>67.599999999999994</c:v>
                </c:pt>
                <c:pt idx="105">
                  <c:v>67.5</c:v>
                </c:pt>
                <c:pt idx="106">
                  <c:v>67.3</c:v>
                </c:pt>
                <c:pt idx="107">
                  <c:v>67.599999999999994</c:v>
                </c:pt>
                <c:pt idx="108">
                  <c:v>67.599999999999994</c:v>
                </c:pt>
                <c:pt idx="109">
                  <c:v>67.400000000000006</c:v>
                </c:pt>
                <c:pt idx="110">
                  <c:v>67.3</c:v>
                </c:pt>
                <c:pt idx="111">
                  <c:v>67.2</c:v>
                </c:pt>
                <c:pt idx="112">
                  <c:v>67.099999999999994</c:v>
                </c:pt>
                <c:pt idx="113">
                  <c:v>67.099999999999994</c:v>
                </c:pt>
                <c:pt idx="114">
                  <c:v>67.099999999999994</c:v>
                </c:pt>
                <c:pt idx="115">
                  <c:v>67.099999999999994</c:v>
                </c:pt>
                <c:pt idx="116">
                  <c:v>67.2</c:v>
                </c:pt>
                <c:pt idx="117">
                  <c:v>67</c:v>
                </c:pt>
                <c:pt idx="118">
                  <c:v>66.7</c:v>
                </c:pt>
                <c:pt idx="119">
                  <c:v>66.7</c:v>
                </c:pt>
                <c:pt idx="120">
                  <c:v>66.599999999999994</c:v>
                </c:pt>
                <c:pt idx="121">
                  <c:v>66.7</c:v>
                </c:pt>
                <c:pt idx="122">
                  <c:v>66.7</c:v>
                </c:pt>
                <c:pt idx="123">
                  <c:v>66.7</c:v>
                </c:pt>
                <c:pt idx="124">
                  <c:v>66.7</c:v>
                </c:pt>
                <c:pt idx="125">
                  <c:v>66.5</c:v>
                </c:pt>
                <c:pt idx="126">
                  <c:v>66.599999999999994</c:v>
                </c:pt>
                <c:pt idx="127">
                  <c:v>66.7</c:v>
                </c:pt>
                <c:pt idx="128">
                  <c:v>66.900000000000006</c:v>
                </c:pt>
                <c:pt idx="129">
                  <c:v>66.900000000000006</c:v>
                </c:pt>
                <c:pt idx="130">
                  <c:v>66.7</c:v>
                </c:pt>
                <c:pt idx="131">
                  <c:v>66.7</c:v>
                </c:pt>
                <c:pt idx="132">
                  <c:v>66.900000000000006</c:v>
                </c:pt>
                <c:pt idx="133">
                  <c:v>67.3</c:v>
                </c:pt>
                <c:pt idx="134">
                  <c:v>67.2</c:v>
                </c:pt>
                <c:pt idx="135">
                  <c:v>67.2</c:v>
                </c:pt>
                <c:pt idx="136">
                  <c:v>67.400000000000006</c:v>
                </c:pt>
                <c:pt idx="137">
                  <c:v>67.599999999999994</c:v>
                </c:pt>
                <c:pt idx="138">
                  <c:v>67.599999999999994</c:v>
                </c:pt>
                <c:pt idx="139">
                  <c:v>67.599999999999994</c:v>
                </c:pt>
                <c:pt idx="140">
                  <c:v>67.599999999999994</c:v>
                </c:pt>
                <c:pt idx="141">
                  <c:v>67.7</c:v>
                </c:pt>
                <c:pt idx="142">
                  <c:v>67.7</c:v>
                </c:pt>
                <c:pt idx="143">
                  <c:v>67.5</c:v>
                </c:pt>
                <c:pt idx="144">
                  <c:v>67.5</c:v>
                </c:pt>
                <c:pt idx="145">
                  <c:v>67.7</c:v>
                </c:pt>
                <c:pt idx="146">
                  <c:v>67.8</c:v>
                </c:pt>
                <c:pt idx="147">
                  <c:v>67.8</c:v>
                </c:pt>
                <c:pt idx="148">
                  <c:v>67.599999999999994</c:v>
                </c:pt>
                <c:pt idx="149">
                  <c:v>67.8</c:v>
                </c:pt>
                <c:pt idx="150">
                  <c:v>68</c:v>
                </c:pt>
                <c:pt idx="151">
                  <c:v>68.3</c:v>
                </c:pt>
                <c:pt idx="152">
                  <c:v>68.099999999999994</c:v>
                </c:pt>
                <c:pt idx="153">
                  <c:v>67.900000000000006</c:v>
                </c:pt>
                <c:pt idx="154">
                  <c:v>67.900000000000006</c:v>
                </c:pt>
                <c:pt idx="155">
                  <c:v>67.900000000000006</c:v>
                </c:pt>
                <c:pt idx="156">
                  <c:v>68.2</c:v>
                </c:pt>
                <c:pt idx="157">
                  <c:v>68.099999999999994</c:v>
                </c:pt>
                <c:pt idx="158">
                  <c:v>67.8</c:v>
                </c:pt>
                <c:pt idx="159">
                  <c:v>67.400000000000006</c:v>
                </c:pt>
                <c:pt idx="160">
                  <c:v>66.8</c:v>
                </c:pt>
                <c:pt idx="161">
                  <c:v>66.7</c:v>
                </c:pt>
                <c:pt idx="162">
                  <c:v>66.599999999999994</c:v>
                </c:pt>
                <c:pt idx="163">
                  <c:v>66.7</c:v>
                </c:pt>
                <c:pt idx="164">
                  <c:v>67</c:v>
                </c:pt>
                <c:pt idx="165">
                  <c:v>67</c:v>
                </c:pt>
                <c:pt idx="166">
                  <c:v>67</c:v>
                </c:pt>
                <c:pt idx="167">
                  <c:v>66.7</c:v>
                </c:pt>
                <c:pt idx="168">
                  <c:v>66.7</c:v>
                </c:pt>
                <c:pt idx="169">
                  <c:v>66.599999999999994</c:v>
                </c:pt>
                <c:pt idx="170">
                  <c:v>66.900000000000006</c:v>
                </c:pt>
                <c:pt idx="171">
                  <c:v>67</c:v>
                </c:pt>
                <c:pt idx="172">
                  <c:v>67.7</c:v>
                </c:pt>
                <c:pt idx="173">
                  <c:v>68</c:v>
                </c:pt>
                <c:pt idx="174">
                  <c:v>68.400000000000006</c:v>
                </c:pt>
                <c:pt idx="175">
                  <c:v>68.5</c:v>
                </c:pt>
                <c:pt idx="176">
                  <c:v>68.8</c:v>
                </c:pt>
                <c:pt idx="177">
                  <c:v>69</c:v>
                </c:pt>
                <c:pt idx="178">
                  <c:v>69</c:v>
                </c:pt>
                <c:pt idx="179">
                  <c:v>69</c:v>
                </c:pt>
                <c:pt idx="180">
                  <c:v>69.3</c:v>
                </c:pt>
                <c:pt idx="181" formatCode="General">
                  <c:v>69.400000000000006</c:v>
                </c:pt>
              </c:numCache>
            </c:numRef>
          </c:val>
          <c:smooth val="0"/>
          <c:extLst>
            <c:ext xmlns:c16="http://schemas.microsoft.com/office/drawing/2014/chart" uri="{C3380CC4-5D6E-409C-BE32-E72D297353CC}">
              <c16:uniqueId val="{00000000-ABEC-4C05-B0DB-4A4F92D1F1AA}"/>
            </c:ext>
          </c:extLst>
        </c:ser>
        <c:dLbls>
          <c:showLegendKey val="0"/>
          <c:showVal val="0"/>
          <c:showCatName val="0"/>
          <c:showSerName val="0"/>
          <c:showPercent val="0"/>
          <c:showBubbleSize val="0"/>
        </c:dLbls>
        <c:smooth val="0"/>
        <c:axId val="974205544"/>
        <c:axId val="974204232"/>
      </c:lineChart>
      <c:dateAx>
        <c:axId val="97420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74204232"/>
        <c:crosses val="autoZero"/>
        <c:auto val="0"/>
        <c:lblOffset val="100"/>
        <c:baseTimeUnit val="days"/>
      </c:dateAx>
      <c:valAx>
        <c:axId val="974204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74205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Arbeidssøkere</c:v>
                </c:pt>
              </c:strCache>
            </c:strRef>
          </c:tx>
          <c:spPr>
            <a:ln w="28575" cap="rnd">
              <a:solidFill>
                <a:schemeClr val="accent1"/>
              </a:solidFill>
              <a:round/>
            </a:ln>
            <a:effectLst/>
          </c:spPr>
          <c:marker>
            <c:symbol val="none"/>
          </c:marker>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'Ark1'!$B$2:$B$29</c:f>
              <c:numCache>
                <c:formatCode>General</c:formatCode>
                <c:ptCount val="28"/>
                <c:pt idx="0">
                  <c:v>99511</c:v>
                </c:pt>
                <c:pt idx="1">
                  <c:v>99445</c:v>
                </c:pt>
                <c:pt idx="2">
                  <c:v>389134</c:v>
                </c:pt>
                <c:pt idx="3">
                  <c:v>408673</c:v>
                </c:pt>
                <c:pt idx="4">
                  <c:v>359407</c:v>
                </c:pt>
                <c:pt idx="5">
                  <c:v>279951</c:v>
                </c:pt>
                <c:pt idx="6">
                  <c:v>249287</c:v>
                </c:pt>
                <c:pt idx="7">
                  <c:v>223099</c:v>
                </c:pt>
                <c:pt idx="8">
                  <c:v>203849</c:v>
                </c:pt>
                <c:pt idx="9">
                  <c:v>192168</c:v>
                </c:pt>
                <c:pt idx="10">
                  <c:v>200225</c:v>
                </c:pt>
                <c:pt idx="11">
                  <c:v>194968</c:v>
                </c:pt>
                <c:pt idx="12">
                  <c:v>189318</c:v>
                </c:pt>
                <c:pt idx="13">
                  <c:v>195176</c:v>
                </c:pt>
                <c:pt idx="14">
                  <c:v>199955</c:v>
                </c:pt>
                <c:pt idx="15">
                  <c:v>196663</c:v>
                </c:pt>
                <c:pt idx="16">
                  <c:v>185857</c:v>
                </c:pt>
                <c:pt idx="17">
                  <c:v>167821</c:v>
                </c:pt>
                <c:pt idx="18">
                  <c:v>159842</c:v>
                </c:pt>
                <c:pt idx="19">
                  <c:v>144540</c:v>
                </c:pt>
                <c:pt idx="20">
                  <c:v>133499</c:v>
                </c:pt>
                <c:pt idx="21">
                  <c:v>124612</c:v>
                </c:pt>
                <c:pt idx="22">
                  <c:v>116808</c:v>
                </c:pt>
                <c:pt idx="23">
                  <c:v>116140</c:v>
                </c:pt>
                <c:pt idx="24">
                  <c:v>118519</c:v>
                </c:pt>
                <c:pt idx="25">
                  <c:v>112096</c:v>
                </c:pt>
                <c:pt idx="26">
                  <c:v>103015</c:v>
                </c:pt>
                <c:pt idx="27">
                  <c:v>94485</c:v>
                </c:pt>
              </c:numCache>
            </c:numRef>
          </c:val>
          <c:smooth val="0"/>
          <c:extLst>
            <c:ext xmlns:c16="http://schemas.microsoft.com/office/drawing/2014/chart" uri="{C3380CC4-5D6E-409C-BE32-E72D297353CC}">
              <c16:uniqueId val="{00000000-3C9D-45FA-8C9C-D39FA31F860A}"/>
            </c:ext>
          </c:extLst>
        </c:ser>
        <c:ser>
          <c:idx val="1"/>
          <c:order val="1"/>
          <c:tx>
            <c:strRef>
              <c:f>'Ark1'!$C$1</c:f>
              <c:strCache>
                <c:ptCount val="1"/>
                <c:pt idx="0">
                  <c:v>Helt ledige </c:v>
                </c:pt>
              </c:strCache>
            </c:strRef>
          </c:tx>
          <c:spPr>
            <a:ln w="28575" cap="rnd">
              <a:solidFill>
                <a:schemeClr val="accent2"/>
              </a:solidFill>
              <a:round/>
            </a:ln>
            <a:effectLst/>
          </c:spPr>
          <c:marker>
            <c:symbol val="none"/>
          </c:marker>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'Ark1'!$C$2:$C$29</c:f>
              <c:numCache>
                <c:formatCode>General</c:formatCode>
                <c:ptCount val="28"/>
                <c:pt idx="0">
                  <c:v>62004</c:v>
                </c:pt>
                <c:pt idx="1">
                  <c:v>61916</c:v>
                </c:pt>
                <c:pt idx="2">
                  <c:v>289837</c:v>
                </c:pt>
                <c:pt idx="3">
                  <c:v>268221</c:v>
                </c:pt>
                <c:pt idx="4">
                  <c:v>192906</c:v>
                </c:pt>
                <c:pt idx="5">
                  <c:v>142248</c:v>
                </c:pt>
                <c:pt idx="6">
                  <c:v>132622</c:v>
                </c:pt>
                <c:pt idx="7">
                  <c:v>117732</c:v>
                </c:pt>
                <c:pt idx="8">
                  <c:v>108170</c:v>
                </c:pt>
                <c:pt idx="9">
                  <c:v>105179</c:v>
                </c:pt>
                <c:pt idx="10">
                  <c:v>116237</c:v>
                </c:pt>
                <c:pt idx="11">
                  <c:v>111508</c:v>
                </c:pt>
                <c:pt idx="12">
                  <c:v>112892</c:v>
                </c:pt>
                <c:pt idx="13">
                  <c:v>114154</c:v>
                </c:pt>
                <c:pt idx="14">
                  <c:v>115087</c:v>
                </c:pt>
                <c:pt idx="15">
                  <c:v>112811</c:v>
                </c:pt>
                <c:pt idx="16">
                  <c:v>100193</c:v>
                </c:pt>
                <c:pt idx="17">
                  <c:v>84976</c:v>
                </c:pt>
                <c:pt idx="18">
                  <c:v>82136</c:v>
                </c:pt>
                <c:pt idx="19">
                  <c:v>72820</c:v>
                </c:pt>
                <c:pt idx="20">
                  <c:v>69548</c:v>
                </c:pt>
                <c:pt idx="21">
                  <c:v>66979</c:v>
                </c:pt>
                <c:pt idx="22">
                  <c:v>63389</c:v>
                </c:pt>
                <c:pt idx="23">
                  <c:v>63738</c:v>
                </c:pt>
                <c:pt idx="24">
                  <c:v>67509</c:v>
                </c:pt>
                <c:pt idx="25">
                  <c:v>61084</c:v>
                </c:pt>
                <c:pt idx="26">
                  <c:v>56293</c:v>
                </c:pt>
                <c:pt idx="27">
                  <c:v>53915</c:v>
                </c:pt>
              </c:numCache>
            </c:numRef>
          </c:val>
          <c:smooth val="0"/>
          <c:extLst>
            <c:ext xmlns:c16="http://schemas.microsoft.com/office/drawing/2014/chart" uri="{C3380CC4-5D6E-409C-BE32-E72D297353CC}">
              <c16:uniqueId val="{00000001-3C9D-45FA-8C9C-D39FA31F860A}"/>
            </c:ext>
          </c:extLst>
        </c:ser>
        <c:ser>
          <c:idx val="2"/>
          <c:order val="2"/>
          <c:tx>
            <c:strRef>
              <c:f>'Ark1'!$D$1</c:f>
              <c:strCache>
                <c:ptCount val="1"/>
                <c:pt idx="0">
                  <c:v>Delvis ledige</c:v>
                </c:pt>
              </c:strCache>
            </c:strRef>
          </c:tx>
          <c:spPr>
            <a:ln w="28575" cap="rnd">
              <a:solidFill>
                <a:schemeClr val="accent3"/>
              </a:solidFill>
              <a:round/>
            </a:ln>
            <a:effectLst/>
          </c:spPr>
          <c:marker>
            <c:symbol val="none"/>
          </c:marker>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'Ark1'!$D$2:$D$29</c:f>
              <c:numCache>
                <c:formatCode>General</c:formatCode>
                <c:ptCount val="28"/>
                <c:pt idx="0">
                  <c:v>23909</c:v>
                </c:pt>
                <c:pt idx="1">
                  <c:v>24217</c:v>
                </c:pt>
                <c:pt idx="2">
                  <c:v>90515</c:v>
                </c:pt>
                <c:pt idx="3">
                  <c:v>135793</c:v>
                </c:pt>
                <c:pt idx="4">
                  <c:v>157790</c:v>
                </c:pt>
                <c:pt idx="5">
                  <c:v>120822</c:v>
                </c:pt>
                <c:pt idx="6">
                  <c:v>106955</c:v>
                </c:pt>
                <c:pt idx="7">
                  <c:v>92568</c:v>
                </c:pt>
                <c:pt idx="8">
                  <c:v>80070</c:v>
                </c:pt>
                <c:pt idx="9">
                  <c:v>72972</c:v>
                </c:pt>
                <c:pt idx="10">
                  <c:v>70933</c:v>
                </c:pt>
                <c:pt idx="11">
                  <c:v>68404</c:v>
                </c:pt>
                <c:pt idx="12">
                  <c:v>62143</c:v>
                </c:pt>
                <c:pt idx="13">
                  <c:v>65771</c:v>
                </c:pt>
                <c:pt idx="14">
                  <c:v>69326</c:v>
                </c:pt>
                <c:pt idx="15">
                  <c:v>69373</c:v>
                </c:pt>
                <c:pt idx="16">
                  <c:v>70568</c:v>
                </c:pt>
                <c:pt idx="17">
                  <c:v>63907</c:v>
                </c:pt>
                <c:pt idx="18">
                  <c:v>63406</c:v>
                </c:pt>
                <c:pt idx="19">
                  <c:v>55264</c:v>
                </c:pt>
                <c:pt idx="20">
                  <c:v>46249</c:v>
                </c:pt>
                <c:pt idx="21">
                  <c:v>41096</c:v>
                </c:pt>
                <c:pt idx="22">
                  <c:v>37634</c:v>
                </c:pt>
                <c:pt idx="23">
                  <c:v>36321</c:v>
                </c:pt>
                <c:pt idx="24">
                  <c:v>36404</c:v>
                </c:pt>
                <c:pt idx="25">
                  <c:v>36038</c:v>
                </c:pt>
                <c:pt idx="26">
                  <c:v>32045</c:v>
                </c:pt>
                <c:pt idx="27">
                  <c:v>27450</c:v>
                </c:pt>
              </c:numCache>
            </c:numRef>
          </c:val>
          <c:smooth val="0"/>
          <c:extLst>
            <c:ext xmlns:c16="http://schemas.microsoft.com/office/drawing/2014/chart" uri="{C3380CC4-5D6E-409C-BE32-E72D297353CC}">
              <c16:uniqueId val="{00000002-3C9D-45FA-8C9C-D39FA31F860A}"/>
            </c:ext>
          </c:extLst>
        </c:ser>
        <c:ser>
          <c:idx val="3"/>
          <c:order val="3"/>
          <c:tx>
            <c:strRef>
              <c:f>'Ark1'!$E$1</c:f>
              <c:strCache>
                <c:ptCount val="1"/>
                <c:pt idx="0">
                  <c:v>Permitterte</c:v>
                </c:pt>
              </c:strCache>
            </c:strRef>
          </c:tx>
          <c:spPr>
            <a:ln w="28575" cap="rnd">
              <a:solidFill>
                <a:schemeClr val="accent4"/>
              </a:solidFill>
              <a:prstDash val="sysDot"/>
              <a:round/>
            </a:ln>
            <a:effectLst/>
          </c:spPr>
          <c:marker>
            <c:symbol val="none"/>
          </c:marker>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'Ark1'!$E$2:$E$29</c:f>
              <c:numCache>
                <c:formatCode>General</c:formatCode>
                <c:ptCount val="28"/>
                <c:pt idx="0">
                  <c:v>4662</c:v>
                </c:pt>
                <c:pt idx="1">
                  <c:v>5335</c:v>
                </c:pt>
                <c:pt idx="2">
                  <c:v>257373</c:v>
                </c:pt>
                <c:pt idx="3">
                  <c:v>272843</c:v>
                </c:pt>
                <c:pt idx="4">
                  <c:v>217630</c:v>
                </c:pt>
                <c:pt idx="5">
                  <c:v>144141</c:v>
                </c:pt>
                <c:pt idx="6">
                  <c:v>108662</c:v>
                </c:pt>
                <c:pt idx="7">
                  <c:v>90006</c:v>
                </c:pt>
                <c:pt idx="8">
                  <c:v>64717</c:v>
                </c:pt>
                <c:pt idx="9">
                  <c:v>54772</c:v>
                </c:pt>
                <c:pt idx="10">
                  <c:v>61530</c:v>
                </c:pt>
                <c:pt idx="11">
                  <c:v>61042</c:v>
                </c:pt>
                <c:pt idx="12">
                  <c:v>66749</c:v>
                </c:pt>
                <c:pt idx="13">
                  <c:v>73216</c:v>
                </c:pt>
                <c:pt idx="14">
                  <c:v>79607</c:v>
                </c:pt>
                <c:pt idx="15">
                  <c:v>77367</c:v>
                </c:pt>
                <c:pt idx="16">
                  <c:v>65771</c:v>
                </c:pt>
                <c:pt idx="17">
                  <c:v>49049</c:v>
                </c:pt>
                <c:pt idx="18">
                  <c:v>39835</c:v>
                </c:pt>
                <c:pt idx="19">
                  <c:v>31446</c:v>
                </c:pt>
                <c:pt idx="20">
                  <c:v>24858</c:v>
                </c:pt>
                <c:pt idx="21">
                  <c:v>19654</c:v>
                </c:pt>
                <c:pt idx="22">
                  <c:v>16204</c:v>
                </c:pt>
                <c:pt idx="23">
                  <c:v>16759</c:v>
                </c:pt>
                <c:pt idx="24">
                  <c:v>26223</c:v>
                </c:pt>
                <c:pt idx="25">
                  <c:v>22457</c:v>
                </c:pt>
                <c:pt idx="26">
                  <c:v>16701</c:v>
                </c:pt>
                <c:pt idx="27">
                  <c:v>8500</c:v>
                </c:pt>
              </c:numCache>
            </c:numRef>
          </c:val>
          <c:smooth val="0"/>
          <c:extLst>
            <c:ext xmlns:c16="http://schemas.microsoft.com/office/drawing/2014/chart" uri="{C3380CC4-5D6E-409C-BE32-E72D297353CC}">
              <c16:uniqueId val="{00000003-3C9D-45FA-8C9C-D39FA31F860A}"/>
            </c:ext>
          </c:extLst>
        </c:ser>
        <c:dLbls>
          <c:showLegendKey val="0"/>
          <c:showVal val="0"/>
          <c:showCatName val="0"/>
          <c:showSerName val="0"/>
          <c:showPercent val="0"/>
          <c:showBubbleSize val="0"/>
        </c:dLbls>
        <c:smooth val="0"/>
        <c:axId val="1242908296"/>
        <c:axId val="1242907640"/>
      </c:lineChart>
      <c:dateAx>
        <c:axId val="124290829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42907640"/>
        <c:crosses val="autoZero"/>
        <c:auto val="1"/>
        <c:lblOffset val="100"/>
        <c:baseTimeUnit val="months"/>
      </c:dateAx>
      <c:valAx>
        <c:axId val="124290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4290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15-24</c:v>
                </c:pt>
              </c:strCache>
            </c:strRef>
          </c:tx>
          <c:spPr>
            <a:solidFill>
              <a:schemeClr val="tx2">
                <a:lumMod val="75000"/>
              </a:schemeClr>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'Ark1'!$B$2:$B$5</c:f>
              <c:numCache>
                <c:formatCode>General</c:formatCode>
                <c:ptCount val="4"/>
                <c:pt idx="0">
                  <c:v>6.2000000000000028</c:v>
                </c:pt>
                <c:pt idx="1">
                  <c:v>2.0999999999999943</c:v>
                </c:pt>
                <c:pt idx="2">
                  <c:v>7.6000000000000085</c:v>
                </c:pt>
                <c:pt idx="3">
                  <c:v>-2.5</c:v>
                </c:pt>
              </c:numCache>
            </c:numRef>
          </c:val>
          <c:extLst>
            <c:ext xmlns:c16="http://schemas.microsoft.com/office/drawing/2014/chart" uri="{C3380CC4-5D6E-409C-BE32-E72D297353CC}">
              <c16:uniqueId val="{00000000-5B58-4B40-86BA-F03CC2164044}"/>
            </c:ext>
          </c:extLst>
        </c:ser>
        <c:ser>
          <c:idx val="1"/>
          <c:order val="1"/>
          <c:tx>
            <c:strRef>
              <c:f>'Ark1'!$C$1</c:f>
              <c:strCache>
                <c:ptCount val="1"/>
                <c:pt idx="0">
                  <c:v>25-29</c:v>
                </c:pt>
              </c:strCache>
            </c:strRef>
          </c:tx>
          <c:spPr>
            <a:solidFill>
              <a:schemeClr val="accent2"/>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'Ark1'!$C$2:$C$5</c:f>
              <c:numCache>
                <c:formatCode>General</c:formatCode>
                <c:ptCount val="4"/>
                <c:pt idx="0">
                  <c:v>0</c:v>
                </c:pt>
                <c:pt idx="1">
                  <c:v>-0.5</c:v>
                </c:pt>
                <c:pt idx="2">
                  <c:v>3.2999999999999972</c:v>
                </c:pt>
                <c:pt idx="3">
                  <c:v>3.5</c:v>
                </c:pt>
              </c:numCache>
            </c:numRef>
          </c:val>
          <c:extLst>
            <c:ext xmlns:c16="http://schemas.microsoft.com/office/drawing/2014/chart" uri="{C3380CC4-5D6E-409C-BE32-E72D297353CC}">
              <c16:uniqueId val="{00000001-5B58-4B40-86BA-F03CC2164044}"/>
            </c:ext>
          </c:extLst>
        </c:ser>
        <c:ser>
          <c:idx val="2"/>
          <c:order val="2"/>
          <c:tx>
            <c:strRef>
              <c:f>'Ark1'!$D$1</c:f>
              <c:strCache>
                <c:ptCount val="1"/>
                <c:pt idx="0">
                  <c:v>30-39</c:v>
                </c:pt>
              </c:strCache>
            </c:strRef>
          </c:tx>
          <c:spPr>
            <a:solidFill>
              <a:schemeClr val="accent3"/>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'Ark1'!$D$2:$D$5</c:f>
              <c:numCache>
                <c:formatCode>General</c:formatCode>
                <c:ptCount val="4"/>
                <c:pt idx="0">
                  <c:v>0.70000000000000284</c:v>
                </c:pt>
                <c:pt idx="1">
                  <c:v>-0.29999999999999716</c:v>
                </c:pt>
                <c:pt idx="2">
                  <c:v>0.79999999999999716</c:v>
                </c:pt>
                <c:pt idx="3">
                  <c:v>1.7999999999999972</c:v>
                </c:pt>
              </c:numCache>
            </c:numRef>
          </c:val>
          <c:extLst>
            <c:ext xmlns:c16="http://schemas.microsoft.com/office/drawing/2014/chart" uri="{C3380CC4-5D6E-409C-BE32-E72D297353CC}">
              <c16:uniqueId val="{00000002-5B58-4B40-86BA-F03CC2164044}"/>
            </c:ext>
          </c:extLst>
        </c:ser>
        <c:ser>
          <c:idx val="3"/>
          <c:order val="3"/>
          <c:tx>
            <c:strRef>
              <c:f>'Ark1'!$E$1</c:f>
              <c:strCache>
                <c:ptCount val="1"/>
                <c:pt idx="0">
                  <c:v>40-54</c:v>
                </c:pt>
              </c:strCache>
            </c:strRef>
          </c:tx>
          <c:spPr>
            <a:solidFill>
              <a:schemeClr val="accent4"/>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'Ark1'!$E$2:$E$5</c:f>
              <c:numCache>
                <c:formatCode>General</c:formatCode>
                <c:ptCount val="4"/>
                <c:pt idx="0">
                  <c:v>-0.60000000000000142</c:v>
                </c:pt>
                <c:pt idx="1">
                  <c:v>-0.40000000000000568</c:v>
                </c:pt>
                <c:pt idx="2">
                  <c:v>0.20000000000000284</c:v>
                </c:pt>
                <c:pt idx="3">
                  <c:v>0.40000000000000568</c:v>
                </c:pt>
              </c:numCache>
            </c:numRef>
          </c:val>
          <c:extLst>
            <c:ext xmlns:c16="http://schemas.microsoft.com/office/drawing/2014/chart" uri="{C3380CC4-5D6E-409C-BE32-E72D297353CC}">
              <c16:uniqueId val="{00000003-5B58-4B40-86BA-F03CC2164044}"/>
            </c:ext>
          </c:extLst>
        </c:ser>
        <c:ser>
          <c:idx val="4"/>
          <c:order val="4"/>
          <c:tx>
            <c:strRef>
              <c:f>'Ark1'!$F$1</c:f>
              <c:strCache>
                <c:ptCount val="1"/>
                <c:pt idx="0">
                  <c:v>55-61</c:v>
                </c:pt>
              </c:strCache>
            </c:strRef>
          </c:tx>
          <c:spPr>
            <a:solidFill>
              <a:schemeClr val="accent5"/>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'Ark1'!$F$2:$F$5</c:f>
              <c:numCache>
                <c:formatCode>General</c:formatCode>
                <c:ptCount val="4"/>
                <c:pt idx="0">
                  <c:v>-1.5</c:v>
                </c:pt>
                <c:pt idx="1">
                  <c:v>-9.9999999999994316E-2</c:v>
                </c:pt>
                <c:pt idx="2">
                  <c:v>-0.20000000000000284</c:v>
                </c:pt>
                <c:pt idx="3">
                  <c:v>1.6000000000000014</c:v>
                </c:pt>
              </c:numCache>
            </c:numRef>
          </c:val>
          <c:extLst>
            <c:ext xmlns:c16="http://schemas.microsoft.com/office/drawing/2014/chart" uri="{C3380CC4-5D6E-409C-BE32-E72D297353CC}">
              <c16:uniqueId val="{00000004-5B58-4B40-86BA-F03CC2164044}"/>
            </c:ext>
          </c:extLst>
        </c:ser>
        <c:ser>
          <c:idx val="5"/>
          <c:order val="5"/>
          <c:tx>
            <c:strRef>
              <c:f>'Ark1'!$G$1</c:f>
              <c:strCache>
                <c:ptCount val="1"/>
                <c:pt idx="0">
                  <c:v>62-66</c:v>
                </c:pt>
              </c:strCache>
            </c:strRef>
          </c:tx>
          <c:spPr>
            <a:solidFill>
              <a:schemeClr val="accent6"/>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'Ark1'!$G$2:$G$5</c:f>
              <c:numCache>
                <c:formatCode>General</c:formatCode>
                <c:ptCount val="4"/>
                <c:pt idx="0">
                  <c:v>1.6000000000000014</c:v>
                </c:pt>
                <c:pt idx="1">
                  <c:v>-9.9999999999994316E-2</c:v>
                </c:pt>
                <c:pt idx="2">
                  <c:v>0.10000000000000142</c:v>
                </c:pt>
                <c:pt idx="3">
                  <c:v>9.9999999999994316E-2</c:v>
                </c:pt>
              </c:numCache>
            </c:numRef>
          </c:val>
          <c:extLst>
            <c:ext xmlns:c16="http://schemas.microsoft.com/office/drawing/2014/chart" uri="{C3380CC4-5D6E-409C-BE32-E72D297353CC}">
              <c16:uniqueId val="{00000005-5B58-4B40-86BA-F03CC2164044}"/>
            </c:ext>
          </c:extLst>
        </c:ser>
        <c:ser>
          <c:idx val="6"/>
          <c:order val="6"/>
          <c:tx>
            <c:strRef>
              <c:f>'Ark1'!$H$1</c:f>
              <c:strCache>
                <c:ptCount val="1"/>
                <c:pt idx="0">
                  <c:v>67-74</c:v>
                </c:pt>
              </c:strCache>
            </c:strRef>
          </c:tx>
          <c:spPr>
            <a:solidFill>
              <a:schemeClr val="accent1">
                <a:lumMod val="60000"/>
              </a:schemeClr>
            </a:solidFill>
            <a:ln>
              <a:noFill/>
            </a:ln>
            <a:effectLst/>
          </c:spPr>
          <c:invertIfNegative val="0"/>
          <c:cat>
            <c:strRef>
              <c:f>'Ark1'!$A$2:$A$5</c:f>
              <c:strCache>
                <c:ptCount val="4"/>
                <c:pt idx="0">
                  <c:v>Grunnskole</c:v>
                </c:pt>
                <c:pt idx="1">
                  <c:v>Videregående</c:v>
                </c:pt>
                <c:pt idx="2">
                  <c:v>Universitets- og høyskoleutdanning, 1-4 år </c:v>
                </c:pt>
                <c:pt idx="3">
                  <c:v>Universitets- og høyskoleutdanning, over 4 år </c:v>
                </c:pt>
              </c:strCache>
            </c:strRef>
          </c:cat>
          <c:val>
            <c:numRef>
              <c:f>'Ark1'!$H$2:$H$5</c:f>
              <c:numCache>
                <c:formatCode>General</c:formatCode>
                <c:ptCount val="4"/>
                <c:pt idx="0">
                  <c:v>0</c:v>
                </c:pt>
                <c:pt idx="1">
                  <c:v>-0.10000000000000142</c:v>
                </c:pt>
                <c:pt idx="2">
                  <c:v>0.30000000000000071</c:v>
                </c:pt>
                <c:pt idx="3">
                  <c:v>-0.70000000000000284</c:v>
                </c:pt>
              </c:numCache>
            </c:numRef>
          </c:val>
          <c:extLst>
            <c:ext xmlns:c16="http://schemas.microsoft.com/office/drawing/2014/chart" uri="{C3380CC4-5D6E-409C-BE32-E72D297353CC}">
              <c16:uniqueId val="{00000006-5B58-4B40-86BA-F03CC2164044}"/>
            </c:ext>
          </c:extLst>
        </c:ser>
        <c:dLbls>
          <c:showLegendKey val="0"/>
          <c:showVal val="0"/>
          <c:showCatName val="0"/>
          <c:showSerName val="0"/>
          <c:showPercent val="0"/>
          <c:showBubbleSize val="0"/>
        </c:dLbls>
        <c:gapWidth val="219"/>
        <c:overlap val="-27"/>
        <c:axId val="996459312"/>
        <c:axId val="996458984"/>
      </c:barChart>
      <c:catAx>
        <c:axId val="9964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96458984"/>
        <c:crosses val="autoZero"/>
        <c:auto val="1"/>
        <c:lblAlgn val="ctr"/>
        <c:lblOffset val="100"/>
        <c:noMultiLvlLbl val="0"/>
      </c:catAx>
      <c:valAx>
        <c:axId val="99645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964593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2019-2021</c:v>
                </c:pt>
              </c:strCache>
            </c:strRef>
          </c:tx>
          <c:spPr>
            <a:solidFill>
              <a:schemeClr val="tx1">
                <a:lumMod val="50000"/>
                <a:lumOff val="50000"/>
              </a:schemeClr>
            </a:solidFill>
            <a:ln>
              <a:noFill/>
            </a:ln>
            <a:effectLst/>
          </c:spPr>
          <c:invertIfNegative val="0"/>
          <c:cat>
            <c:strRef>
              <c:f>'Ark1'!$A$2:$A$14</c:f>
              <c:strCache>
                <c:ptCount val="13"/>
                <c:pt idx="0">
                  <c:v>Helse- og omsorgstjenester</c:v>
                </c:pt>
                <c:pt idx="1">
                  <c:v>Offent. adm. og forsvar</c:v>
                </c:pt>
                <c:pt idx="2">
                  <c:v>Undervisning</c:v>
                </c:pt>
                <c:pt idx="3">
                  <c:v>Informasjon og kommunikasjon</c:v>
                </c:pt>
                <c:pt idx="4">
                  <c:v>Varehandel </c:v>
                </c:pt>
                <c:pt idx="5">
                  <c:v>Bygge- og anleggsvirksomhet</c:v>
                </c:pt>
                <c:pt idx="6">
                  <c:v>Faglig, vitensk. og tek. tjen.-yting</c:v>
                </c:pt>
                <c:pt idx="7">
                  <c:v>Kultur, underholdning, o.l.</c:v>
                </c:pt>
                <c:pt idx="8">
                  <c:v>Utvinning av råolje og naturgass</c:v>
                </c:pt>
                <c:pt idx="9">
                  <c:v>Industri</c:v>
                </c:pt>
                <c:pt idx="10">
                  <c:v>Forretningsmessig tjenesteyting</c:v>
                </c:pt>
                <c:pt idx="11">
                  <c:v>Transport u/utenriks sjøfart</c:v>
                </c:pt>
                <c:pt idx="12">
                  <c:v>Overnatting og servering</c:v>
                </c:pt>
              </c:strCache>
            </c:strRef>
          </c:cat>
          <c:val>
            <c:numRef>
              <c:f>'Ark1'!$B$2:$B$14</c:f>
              <c:numCache>
                <c:formatCode>General</c:formatCode>
                <c:ptCount val="13"/>
                <c:pt idx="0">
                  <c:v>13.5</c:v>
                </c:pt>
                <c:pt idx="1">
                  <c:v>9.9000000000000057</c:v>
                </c:pt>
                <c:pt idx="2">
                  <c:v>6.4000000000000057</c:v>
                </c:pt>
                <c:pt idx="3">
                  <c:v>6.3000000000000114</c:v>
                </c:pt>
                <c:pt idx="4">
                  <c:v>6.1000000000000227</c:v>
                </c:pt>
                <c:pt idx="5">
                  <c:v>6</c:v>
                </c:pt>
                <c:pt idx="6">
                  <c:v>5.6000000000000227</c:v>
                </c:pt>
                <c:pt idx="7">
                  <c:v>1</c:v>
                </c:pt>
                <c:pt idx="8">
                  <c:v>0.89999999999999858</c:v>
                </c:pt>
                <c:pt idx="9">
                  <c:v>-1.5999999999999943</c:v>
                </c:pt>
                <c:pt idx="10">
                  <c:v>-5.4000000000000057</c:v>
                </c:pt>
                <c:pt idx="11">
                  <c:v>-5.8999999999999915</c:v>
                </c:pt>
                <c:pt idx="12">
                  <c:v>-6</c:v>
                </c:pt>
              </c:numCache>
            </c:numRef>
          </c:val>
          <c:extLst>
            <c:ext xmlns:c16="http://schemas.microsoft.com/office/drawing/2014/chart" uri="{C3380CC4-5D6E-409C-BE32-E72D297353CC}">
              <c16:uniqueId val="{00000000-A406-4500-9571-AAC75825C090}"/>
            </c:ext>
          </c:extLst>
        </c:ser>
        <c:ser>
          <c:idx val="1"/>
          <c:order val="1"/>
          <c:tx>
            <c:strRef>
              <c:f>'Ark1'!$C$1</c:f>
              <c:strCache>
                <c:ptCount val="1"/>
                <c:pt idx="0">
                  <c:v>2020-2021</c:v>
                </c:pt>
              </c:strCache>
            </c:strRef>
          </c:tx>
          <c:spPr>
            <a:solidFill>
              <a:schemeClr val="accent2"/>
            </a:solidFill>
            <a:ln>
              <a:noFill/>
            </a:ln>
            <a:effectLst/>
          </c:spPr>
          <c:invertIfNegative val="0"/>
          <c:cat>
            <c:strRef>
              <c:f>'Ark1'!$A$2:$A$14</c:f>
              <c:strCache>
                <c:ptCount val="13"/>
                <c:pt idx="0">
                  <c:v>Helse- og omsorgstjenester</c:v>
                </c:pt>
                <c:pt idx="1">
                  <c:v>Offent. adm. og forsvar</c:v>
                </c:pt>
                <c:pt idx="2">
                  <c:v>Undervisning</c:v>
                </c:pt>
                <c:pt idx="3">
                  <c:v>Informasjon og kommunikasjon</c:v>
                </c:pt>
                <c:pt idx="4">
                  <c:v>Varehandel </c:v>
                </c:pt>
                <c:pt idx="5">
                  <c:v>Bygge- og anleggsvirksomhet</c:v>
                </c:pt>
                <c:pt idx="6">
                  <c:v>Faglig, vitensk. og tek. tjen.-yting</c:v>
                </c:pt>
                <c:pt idx="7">
                  <c:v>Kultur, underholdning, o.l.</c:v>
                </c:pt>
                <c:pt idx="8">
                  <c:v>Utvinning av råolje og naturgass</c:v>
                </c:pt>
                <c:pt idx="9">
                  <c:v>Industri</c:v>
                </c:pt>
                <c:pt idx="10">
                  <c:v>Forretningsmessig tjenesteyting</c:v>
                </c:pt>
                <c:pt idx="11">
                  <c:v>Transport u/utenriks sjøfart</c:v>
                </c:pt>
                <c:pt idx="12">
                  <c:v>Overnatting og servering</c:v>
                </c:pt>
              </c:strCache>
            </c:strRef>
          </c:cat>
          <c:val>
            <c:numRef>
              <c:f>'Ark1'!$C$2:$C$14</c:f>
              <c:numCache>
                <c:formatCode>General</c:formatCode>
                <c:ptCount val="13"/>
                <c:pt idx="0">
                  <c:v>10.600000000000023</c:v>
                </c:pt>
                <c:pt idx="1">
                  <c:v>4.4000000000000057</c:v>
                </c:pt>
                <c:pt idx="2">
                  <c:v>5</c:v>
                </c:pt>
                <c:pt idx="3">
                  <c:v>7.9000000000000057</c:v>
                </c:pt>
                <c:pt idx="4">
                  <c:v>8.8000000000000114</c:v>
                </c:pt>
                <c:pt idx="5">
                  <c:v>7.5</c:v>
                </c:pt>
                <c:pt idx="6">
                  <c:v>7.8000000000000114</c:v>
                </c:pt>
                <c:pt idx="7">
                  <c:v>5.5999999999999943</c:v>
                </c:pt>
                <c:pt idx="8">
                  <c:v>1.1000000000000014</c:v>
                </c:pt>
                <c:pt idx="9">
                  <c:v>3.6000000000000227</c:v>
                </c:pt>
                <c:pt idx="10">
                  <c:v>8.5</c:v>
                </c:pt>
                <c:pt idx="11">
                  <c:v>1.5</c:v>
                </c:pt>
                <c:pt idx="12">
                  <c:v>12.299999999999997</c:v>
                </c:pt>
              </c:numCache>
            </c:numRef>
          </c:val>
          <c:extLst>
            <c:ext xmlns:c16="http://schemas.microsoft.com/office/drawing/2014/chart" uri="{C3380CC4-5D6E-409C-BE32-E72D297353CC}">
              <c16:uniqueId val="{00000001-A406-4500-9571-AAC75825C090}"/>
            </c:ext>
          </c:extLst>
        </c:ser>
        <c:dLbls>
          <c:showLegendKey val="0"/>
          <c:showVal val="0"/>
          <c:showCatName val="0"/>
          <c:showSerName val="0"/>
          <c:showPercent val="0"/>
          <c:showBubbleSize val="0"/>
        </c:dLbls>
        <c:gapWidth val="219"/>
        <c:overlap val="-27"/>
        <c:axId val="437461720"/>
        <c:axId val="437462048"/>
      </c:barChart>
      <c:catAx>
        <c:axId val="4374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nb-NO"/>
          </a:p>
        </c:txPr>
        <c:crossAx val="437462048"/>
        <c:crosses val="autoZero"/>
        <c:auto val="1"/>
        <c:lblAlgn val="ctr"/>
        <c:lblOffset val="100"/>
        <c:noMultiLvlLbl val="0"/>
      </c:catAx>
      <c:valAx>
        <c:axId val="4374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43746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'Ark1'!$B$1</c:f>
              <c:strCache>
                <c:ptCount val="1"/>
                <c:pt idx="0">
                  <c:v>Tilgang ledige stillinger</c:v>
                </c:pt>
              </c:strCache>
            </c:strRef>
          </c:tx>
          <c:spPr>
            <a:solidFill>
              <a:schemeClr val="accent1"/>
            </a:solidFill>
            <a:ln>
              <a:noFill/>
            </a:ln>
            <a:effectLst/>
          </c:spPr>
          <c:invertIfNegative val="0"/>
          <c:cat>
            <c:strRef>
              <c:f>'Ark1'!$A$2:$A$12</c:f>
              <c:strCache>
                <c:ptCount val="11"/>
                <c:pt idx="0">
                  <c:v>Ingeniør og ikt-fag</c:v>
                </c:pt>
                <c:pt idx="1">
                  <c:v>Undervisning</c:v>
                </c:pt>
                <c:pt idx="2">
                  <c:v>Akademiske yrker</c:v>
                </c:pt>
                <c:pt idx="3">
                  <c:v>Helse, pleie- og omsorg</c:v>
                </c:pt>
                <c:pt idx="4">
                  <c:v>Barne- og ungdomsarbeid </c:v>
                </c:pt>
                <c:pt idx="5">
                  <c:v>Kontorarbeid </c:v>
                </c:pt>
                <c:pt idx="6">
                  <c:v>Butikk- og salgsarbeid </c:v>
                </c:pt>
                <c:pt idx="7">
                  <c:v>Bygg og anlegg</c:v>
                </c:pt>
                <c:pt idx="8">
                  <c:v>Industriarbeid </c:v>
                </c:pt>
                <c:pt idx="9">
                  <c:v>Reiseliv og transport </c:v>
                </c:pt>
                <c:pt idx="10">
                  <c:v>Serviceyrker og a. arbeid </c:v>
                </c:pt>
              </c:strCache>
            </c:strRef>
          </c:cat>
          <c:val>
            <c:numRef>
              <c:f>'Ark1'!$B$2:$B$12</c:f>
              <c:numCache>
                <c:formatCode>#,##0</c:formatCode>
                <c:ptCount val="11"/>
                <c:pt idx="0">
                  <c:v>4842</c:v>
                </c:pt>
                <c:pt idx="1">
                  <c:v>5810</c:v>
                </c:pt>
                <c:pt idx="2">
                  <c:v>2587</c:v>
                </c:pt>
                <c:pt idx="3">
                  <c:v>15121</c:v>
                </c:pt>
                <c:pt idx="4">
                  <c:v>1559</c:v>
                </c:pt>
                <c:pt idx="5">
                  <c:v>4803</c:v>
                </c:pt>
                <c:pt idx="6">
                  <c:v>6402</c:v>
                </c:pt>
                <c:pt idx="7">
                  <c:v>5273</c:v>
                </c:pt>
                <c:pt idx="8">
                  <c:v>4528</c:v>
                </c:pt>
                <c:pt idx="9">
                  <c:v>8183</c:v>
                </c:pt>
                <c:pt idx="10">
                  <c:v>8269</c:v>
                </c:pt>
              </c:numCache>
            </c:numRef>
          </c:val>
          <c:extLst>
            <c:ext xmlns:c16="http://schemas.microsoft.com/office/drawing/2014/chart" uri="{C3380CC4-5D6E-409C-BE32-E72D297353CC}">
              <c16:uniqueId val="{00000000-0866-4AE7-BED5-14D3F93ED016}"/>
            </c:ext>
          </c:extLst>
        </c:ser>
        <c:ser>
          <c:idx val="1"/>
          <c:order val="1"/>
          <c:tx>
            <c:strRef>
              <c:f>'Ark1'!$C$1</c:f>
              <c:strCache>
                <c:ptCount val="1"/>
                <c:pt idx="0">
                  <c:v>Arbeidssøkere</c:v>
                </c:pt>
              </c:strCache>
            </c:strRef>
          </c:tx>
          <c:spPr>
            <a:solidFill>
              <a:schemeClr val="accent2"/>
            </a:solidFill>
            <a:ln>
              <a:noFill/>
            </a:ln>
            <a:effectLst/>
          </c:spPr>
          <c:invertIfNegative val="0"/>
          <c:cat>
            <c:strRef>
              <c:f>'Ark1'!$A$2:$A$12</c:f>
              <c:strCache>
                <c:ptCount val="11"/>
                <c:pt idx="0">
                  <c:v>Ingeniør og ikt-fag</c:v>
                </c:pt>
                <c:pt idx="1">
                  <c:v>Undervisning</c:v>
                </c:pt>
                <c:pt idx="2">
                  <c:v>Akademiske yrker</c:v>
                </c:pt>
                <c:pt idx="3">
                  <c:v>Helse, pleie- og omsorg</c:v>
                </c:pt>
                <c:pt idx="4">
                  <c:v>Barne- og ungdomsarbeid </c:v>
                </c:pt>
                <c:pt idx="5">
                  <c:v>Kontorarbeid </c:v>
                </c:pt>
                <c:pt idx="6">
                  <c:v>Butikk- og salgsarbeid </c:v>
                </c:pt>
                <c:pt idx="7">
                  <c:v>Bygg og anlegg</c:v>
                </c:pt>
                <c:pt idx="8">
                  <c:v>Industriarbeid </c:v>
                </c:pt>
                <c:pt idx="9">
                  <c:v>Reiseliv og transport </c:v>
                </c:pt>
                <c:pt idx="10">
                  <c:v>Serviceyrker og a. arbeid </c:v>
                </c:pt>
              </c:strCache>
            </c:strRef>
          </c:cat>
          <c:val>
            <c:numRef>
              <c:f>'Ark1'!$C$2:$C$12</c:f>
              <c:numCache>
                <c:formatCode>#,##0</c:formatCode>
                <c:ptCount val="11"/>
                <c:pt idx="0">
                  <c:v>4236</c:v>
                </c:pt>
                <c:pt idx="1">
                  <c:v>2849</c:v>
                </c:pt>
                <c:pt idx="2">
                  <c:v>1519</c:v>
                </c:pt>
                <c:pt idx="3">
                  <c:v>6925</c:v>
                </c:pt>
                <c:pt idx="4">
                  <c:v>4935</c:v>
                </c:pt>
                <c:pt idx="5">
                  <c:v>2481</c:v>
                </c:pt>
                <c:pt idx="6">
                  <c:v>8398</c:v>
                </c:pt>
                <c:pt idx="7">
                  <c:v>11412</c:v>
                </c:pt>
                <c:pt idx="8">
                  <c:v>8277</c:v>
                </c:pt>
                <c:pt idx="9">
                  <c:v>12524</c:v>
                </c:pt>
                <c:pt idx="10">
                  <c:v>12955</c:v>
                </c:pt>
              </c:numCache>
            </c:numRef>
          </c:val>
          <c:extLst>
            <c:ext xmlns:c16="http://schemas.microsoft.com/office/drawing/2014/chart" uri="{C3380CC4-5D6E-409C-BE32-E72D297353CC}">
              <c16:uniqueId val="{00000001-0866-4AE7-BED5-14D3F93ED016}"/>
            </c:ext>
          </c:extLst>
        </c:ser>
        <c:dLbls>
          <c:showLegendKey val="0"/>
          <c:showVal val="0"/>
          <c:showCatName val="0"/>
          <c:showSerName val="0"/>
          <c:showPercent val="0"/>
          <c:showBubbleSize val="0"/>
        </c:dLbls>
        <c:gapWidth val="219"/>
        <c:overlap val="-27"/>
        <c:axId val="422572848"/>
        <c:axId val="422571864"/>
      </c:barChart>
      <c:catAx>
        <c:axId val="4225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nb-NO"/>
          </a:p>
        </c:txPr>
        <c:crossAx val="422571864"/>
        <c:crosses val="autoZero"/>
        <c:auto val="1"/>
        <c:lblAlgn val="ctr"/>
        <c:lblOffset val="100"/>
        <c:noMultiLvlLbl val="0"/>
      </c:catAx>
      <c:valAx>
        <c:axId val="422571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42257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Antall AAP</c:v>
                </c:pt>
              </c:strCache>
            </c:strRef>
          </c:tx>
          <c:spPr>
            <a:solidFill>
              <a:schemeClr val="accent1"/>
            </a:solidFill>
            <a:ln>
              <a:noFill/>
            </a:ln>
            <a:effectLst/>
          </c:spPr>
          <c:invertIfNegative val="0"/>
          <c:cat>
            <c:numRef>
              <c:f>'Ark1'!$A$2:$A$14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'Ark1'!$B$2:$B$14</c:f>
              <c:numCache>
                <c:formatCode>#,##0</c:formatCode>
                <c:ptCount val="13"/>
                <c:pt idx="0">
                  <c:v>161189</c:v>
                </c:pt>
                <c:pt idx="1">
                  <c:v>175905</c:v>
                </c:pt>
                <c:pt idx="2">
                  <c:v>170243</c:v>
                </c:pt>
                <c:pt idx="3">
                  <c:v>167806</c:v>
                </c:pt>
                <c:pt idx="4">
                  <c:v>163133</c:v>
                </c:pt>
                <c:pt idx="5">
                  <c:v>152530</c:v>
                </c:pt>
                <c:pt idx="6">
                  <c:v>148424</c:v>
                </c:pt>
                <c:pt idx="7">
                  <c:v>146783</c:v>
                </c:pt>
                <c:pt idx="8">
                  <c:v>138477</c:v>
                </c:pt>
                <c:pt idx="9">
                  <c:v>122754</c:v>
                </c:pt>
                <c:pt idx="10">
                  <c:v>118062</c:v>
                </c:pt>
                <c:pt idx="11">
                  <c:v>129977</c:v>
                </c:pt>
                <c:pt idx="12">
                  <c:v>136633</c:v>
                </c:pt>
              </c:numCache>
            </c:numRef>
          </c:val>
          <c:extLst>
            <c:ext xmlns:c16="http://schemas.microsoft.com/office/drawing/2014/chart" uri="{C3380CC4-5D6E-409C-BE32-E72D297353CC}">
              <c16:uniqueId val="{00000000-8132-4E09-87F5-B661CE9CB343}"/>
            </c:ext>
          </c:extLst>
        </c:ser>
        <c:ser>
          <c:idx val="1"/>
          <c:order val="1"/>
          <c:tx>
            <c:strRef>
              <c:f>'Ark1'!$C$1</c:f>
              <c:strCache>
                <c:ptCount val="1"/>
                <c:pt idx="0">
                  <c:v>Antall nedsatt arbeidsevne</c:v>
                </c:pt>
              </c:strCache>
            </c:strRef>
          </c:tx>
          <c:spPr>
            <a:solidFill>
              <a:schemeClr val="accent2"/>
            </a:solidFill>
            <a:ln>
              <a:noFill/>
            </a:ln>
            <a:effectLst/>
          </c:spPr>
          <c:invertIfNegative val="0"/>
          <c:cat>
            <c:numRef>
              <c:f>'Ark1'!$A$2:$A$14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'Ark1'!$C$2:$C$14</c:f>
              <c:numCache>
                <c:formatCode>#,##0</c:formatCode>
                <c:ptCount val="13"/>
                <c:pt idx="0">
                  <c:v>198801</c:v>
                </c:pt>
                <c:pt idx="1">
                  <c:v>218006</c:v>
                </c:pt>
                <c:pt idx="2">
                  <c:v>212812</c:v>
                </c:pt>
                <c:pt idx="3">
                  <c:v>211456</c:v>
                </c:pt>
                <c:pt idx="4">
                  <c:v>206419</c:v>
                </c:pt>
                <c:pt idx="5">
                  <c:v>206001</c:v>
                </c:pt>
                <c:pt idx="6">
                  <c:v>201657</c:v>
                </c:pt>
                <c:pt idx="7">
                  <c:v>200352</c:v>
                </c:pt>
                <c:pt idx="8">
                  <c:v>190573</c:v>
                </c:pt>
                <c:pt idx="9">
                  <c:v>183297</c:v>
                </c:pt>
                <c:pt idx="10">
                  <c:v>183326</c:v>
                </c:pt>
                <c:pt idx="11">
                  <c:v>194094</c:v>
                </c:pt>
                <c:pt idx="12">
                  <c:v>200775</c:v>
                </c:pt>
              </c:numCache>
            </c:numRef>
          </c:val>
          <c:extLst>
            <c:ext xmlns:c16="http://schemas.microsoft.com/office/drawing/2014/chart" uri="{C3380CC4-5D6E-409C-BE32-E72D297353CC}">
              <c16:uniqueId val="{00000001-8132-4E09-87F5-B661CE9CB343}"/>
            </c:ext>
          </c:extLst>
        </c:ser>
        <c:dLbls>
          <c:showLegendKey val="0"/>
          <c:showVal val="0"/>
          <c:showCatName val="0"/>
          <c:showSerName val="0"/>
          <c:showPercent val="0"/>
          <c:showBubbleSize val="0"/>
        </c:dLbls>
        <c:gapWidth val="150"/>
        <c:axId val="864443680"/>
        <c:axId val="864444008"/>
      </c:barChart>
      <c:lineChart>
        <c:grouping val="standard"/>
        <c:varyColors val="0"/>
        <c:ser>
          <c:idx val="2"/>
          <c:order val="2"/>
          <c:tx>
            <c:strRef>
              <c:f>'Ark1'!$D$1</c:f>
              <c:strCache>
                <c:ptCount val="1"/>
                <c:pt idx="0">
                  <c:v>Andel AAP</c:v>
                </c:pt>
              </c:strCache>
            </c:strRef>
          </c:tx>
          <c:spPr>
            <a:ln w="28575" cap="rnd">
              <a:solidFill>
                <a:schemeClr val="accent3"/>
              </a:solidFill>
              <a:round/>
            </a:ln>
            <a:effectLst/>
          </c:spPr>
          <c:marker>
            <c:symbol val="none"/>
          </c:marker>
          <c:cat>
            <c:numRef>
              <c:f>'Ark1'!$A$2:$A$14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'Ark1'!$D$2:$D$14</c:f>
              <c:numCache>
                <c:formatCode>0.0;\-0.0</c:formatCode>
                <c:ptCount val="13"/>
                <c:pt idx="0">
                  <c:v>5.0999999999999996</c:v>
                </c:pt>
                <c:pt idx="1">
                  <c:v>5.5</c:v>
                </c:pt>
                <c:pt idx="2">
                  <c:v>5.3</c:v>
                </c:pt>
                <c:pt idx="3">
                  <c:v>5.0999999999999996</c:v>
                </c:pt>
                <c:pt idx="4">
                  <c:v>5</c:v>
                </c:pt>
                <c:pt idx="5">
                  <c:v>4.5999999999999996</c:v>
                </c:pt>
                <c:pt idx="6">
                  <c:v>4.4000000000000004</c:v>
                </c:pt>
                <c:pt idx="7">
                  <c:v>4.4000000000000004</c:v>
                </c:pt>
                <c:pt idx="8">
                  <c:v>4.0999999999999996</c:v>
                </c:pt>
                <c:pt idx="9">
                  <c:v>3.6</c:v>
                </c:pt>
                <c:pt idx="10">
                  <c:v>3.4</c:v>
                </c:pt>
                <c:pt idx="11">
                  <c:v>3.8</c:v>
                </c:pt>
                <c:pt idx="12">
                  <c:v>4</c:v>
                </c:pt>
              </c:numCache>
            </c:numRef>
          </c:val>
          <c:smooth val="0"/>
          <c:extLst>
            <c:ext xmlns:c16="http://schemas.microsoft.com/office/drawing/2014/chart" uri="{C3380CC4-5D6E-409C-BE32-E72D297353CC}">
              <c16:uniqueId val="{00000002-8132-4E09-87F5-B661CE9CB343}"/>
            </c:ext>
          </c:extLst>
        </c:ser>
        <c:ser>
          <c:idx val="3"/>
          <c:order val="3"/>
          <c:tx>
            <c:strRef>
              <c:f>'Ark1'!$E$1</c:f>
              <c:strCache>
                <c:ptCount val="1"/>
                <c:pt idx="0">
                  <c:v>Andel nedsatt arbeidsevne</c:v>
                </c:pt>
              </c:strCache>
            </c:strRef>
          </c:tx>
          <c:spPr>
            <a:ln w="28575" cap="rnd">
              <a:solidFill>
                <a:schemeClr val="accent4"/>
              </a:solidFill>
              <a:round/>
            </a:ln>
            <a:effectLst/>
          </c:spPr>
          <c:marker>
            <c:symbol val="none"/>
          </c:marker>
          <c:cat>
            <c:numRef>
              <c:f>'Ark1'!$A$2:$A$14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'Ark1'!$E$2:$E$14</c:f>
              <c:numCache>
                <c:formatCode>General</c:formatCode>
                <c:ptCount val="13"/>
                <c:pt idx="2" formatCode="0.0">
                  <c:v>6.6</c:v>
                </c:pt>
                <c:pt idx="3" formatCode="0.0">
                  <c:v>6.5</c:v>
                </c:pt>
                <c:pt idx="4" formatCode="0.0">
                  <c:v>6.3</c:v>
                </c:pt>
                <c:pt idx="5" formatCode="0.0">
                  <c:v>6.2</c:v>
                </c:pt>
                <c:pt idx="6" formatCode="0.0">
                  <c:v>6</c:v>
                </c:pt>
                <c:pt idx="7" formatCode="0.0">
                  <c:v>6</c:v>
                </c:pt>
                <c:pt idx="8" formatCode="0.0">
                  <c:v>5.6</c:v>
                </c:pt>
                <c:pt idx="9" formatCode="0.0">
                  <c:v>5.4</c:v>
                </c:pt>
                <c:pt idx="10" formatCode="0.0">
                  <c:v>5.4</c:v>
                </c:pt>
                <c:pt idx="11" formatCode="0.0">
                  <c:v>5.7</c:v>
                </c:pt>
                <c:pt idx="12" formatCode="0.0">
                  <c:v>5.8</c:v>
                </c:pt>
              </c:numCache>
            </c:numRef>
          </c:val>
          <c:smooth val="0"/>
          <c:extLst>
            <c:ext xmlns:c16="http://schemas.microsoft.com/office/drawing/2014/chart" uri="{C3380CC4-5D6E-409C-BE32-E72D297353CC}">
              <c16:uniqueId val="{00000003-8132-4E09-87F5-B661CE9CB343}"/>
            </c:ext>
          </c:extLst>
        </c:ser>
        <c:dLbls>
          <c:showLegendKey val="0"/>
          <c:showVal val="0"/>
          <c:showCatName val="0"/>
          <c:showSerName val="0"/>
          <c:showPercent val="0"/>
          <c:showBubbleSize val="0"/>
        </c:dLbls>
        <c:marker val="1"/>
        <c:smooth val="0"/>
        <c:axId val="1016652112"/>
        <c:axId val="1016651784"/>
      </c:lineChart>
      <c:catAx>
        <c:axId val="8644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64444008"/>
        <c:crosses val="autoZero"/>
        <c:auto val="1"/>
        <c:lblAlgn val="ctr"/>
        <c:lblOffset val="100"/>
        <c:noMultiLvlLbl val="0"/>
      </c:catAx>
      <c:valAx>
        <c:axId val="864444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64443680"/>
        <c:crosses val="autoZero"/>
        <c:crossBetween val="between"/>
      </c:valAx>
      <c:valAx>
        <c:axId val="1016651784"/>
        <c:scaling>
          <c:orientation val="minMax"/>
        </c:scaling>
        <c:delete val="0"/>
        <c:axPos val="r"/>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016652112"/>
        <c:crosses val="max"/>
        <c:crossBetween val="between"/>
      </c:valAx>
      <c:catAx>
        <c:axId val="1016652112"/>
        <c:scaling>
          <c:orientation val="minMax"/>
        </c:scaling>
        <c:delete val="1"/>
        <c:axPos val="b"/>
        <c:numFmt formatCode="General" sourceLinked="1"/>
        <c:majorTickMark val="out"/>
        <c:minorTickMark val="none"/>
        <c:tickLblPos val="nextTo"/>
        <c:crossAx val="1016651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'Ark1'!$B$1</c:f>
              <c:strCache>
                <c:ptCount val="1"/>
                <c:pt idx="0">
                  <c:v>Antall </c:v>
                </c:pt>
              </c:strCache>
            </c:strRef>
          </c:tx>
          <c:spPr>
            <a:solidFill>
              <a:schemeClr val="accent1"/>
            </a:solidFill>
            <a:ln>
              <a:noFill/>
            </a:ln>
            <a:effectLst/>
          </c:spPr>
          <c:invertIfNegative val="0"/>
          <c:cat>
            <c:numRef>
              <c:f>'Ark1'!$A$2:$A$11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'Ark1'!$B$2:$B$11</c:f>
              <c:numCache>
                <c:formatCode>#,##0</c:formatCode>
                <c:ptCount val="10"/>
                <c:pt idx="0">
                  <c:v>309074</c:v>
                </c:pt>
                <c:pt idx="1">
                  <c:v>307350</c:v>
                </c:pt>
                <c:pt idx="2">
                  <c:v>310853</c:v>
                </c:pt>
                <c:pt idx="3">
                  <c:v>317135</c:v>
                </c:pt>
                <c:pt idx="4">
                  <c:v>321300</c:v>
                </c:pt>
                <c:pt idx="5">
                  <c:v>329371</c:v>
                </c:pt>
                <c:pt idx="6">
                  <c:v>343438</c:v>
                </c:pt>
                <c:pt idx="7">
                  <c:v>355224</c:v>
                </c:pt>
                <c:pt idx="8">
                  <c:v>359923</c:v>
                </c:pt>
                <c:pt idx="9">
                  <c:v>363062</c:v>
                </c:pt>
              </c:numCache>
            </c:numRef>
          </c:val>
          <c:extLst>
            <c:ext xmlns:c16="http://schemas.microsoft.com/office/drawing/2014/chart" uri="{C3380CC4-5D6E-409C-BE32-E72D297353CC}">
              <c16:uniqueId val="{00000000-4016-4BFF-B59D-F9407BF30C3B}"/>
            </c:ext>
          </c:extLst>
        </c:ser>
        <c:dLbls>
          <c:showLegendKey val="0"/>
          <c:showVal val="0"/>
          <c:showCatName val="0"/>
          <c:showSerName val="0"/>
          <c:showPercent val="0"/>
          <c:showBubbleSize val="0"/>
        </c:dLbls>
        <c:gapWidth val="219"/>
        <c:axId val="707170528"/>
        <c:axId val="707170200"/>
      </c:barChart>
      <c:lineChart>
        <c:grouping val="standard"/>
        <c:varyColors val="0"/>
        <c:ser>
          <c:idx val="1"/>
          <c:order val="1"/>
          <c:tx>
            <c:strRef>
              <c:f>'Ark1'!$C$1</c:f>
              <c:strCache>
                <c:ptCount val="1"/>
                <c:pt idx="0">
                  <c:v>Andel</c:v>
                </c:pt>
              </c:strCache>
            </c:strRef>
          </c:tx>
          <c:spPr>
            <a:ln w="28575" cap="rnd">
              <a:solidFill>
                <a:schemeClr val="accent2"/>
              </a:solidFill>
              <a:round/>
            </a:ln>
            <a:effectLst/>
          </c:spPr>
          <c:marker>
            <c:symbol val="none"/>
          </c:marker>
          <c:cat>
            <c:numRef>
              <c:f>'Ark1'!$A$2:$A$11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'Ark1'!$C$2:$C$11</c:f>
              <c:numCache>
                <c:formatCode>General</c:formatCode>
                <c:ptCount val="10"/>
                <c:pt idx="0">
                  <c:v>9.5</c:v>
                </c:pt>
                <c:pt idx="1">
                  <c:v>9.3000000000000007</c:v>
                </c:pt>
                <c:pt idx="2">
                  <c:v>9.3000000000000007</c:v>
                </c:pt>
                <c:pt idx="3">
                  <c:v>9.5</c:v>
                </c:pt>
                <c:pt idx="4">
                  <c:v>9.5</c:v>
                </c:pt>
                <c:pt idx="5">
                  <c:v>9.6999999999999993</c:v>
                </c:pt>
                <c:pt idx="6">
                  <c:v>10.1</c:v>
                </c:pt>
                <c:pt idx="7">
                  <c:v>10.4</c:v>
                </c:pt>
                <c:pt idx="8">
                  <c:v>10.5</c:v>
                </c:pt>
                <c:pt idx="9">
                  <c:v>10.5</c:v>
                </c:pt>
              </c:numCache>
            </c:numRef>
          </c:val>
          <c:smooth val="0"/>
          <c:extLst>
            <c:ext xmlns:c16="http://schemas.microsoft.com/office/drawing/2014/chart" uri="{C3380CC4-5D6E-409C-BE32-E72D297353CC}">
              <c16:uniqueId val="{00000001-4016-4BFF-B59D-F9407BF30C3B}"/>
            </c:ext>
          </c:extLst>
        </c:ser>
        <c:ser>
          <c:idx val="2"/>
          <c:order val="2"/>
          <c:tx>
            <c:strRef>
              <c:f>'Ark1'!$D$1</c:f>
              <c:strCache>
                <c:ptCount val="1"/>
                <c:pt idx="0">
                  <c:v>Andel 18-19 år</c:v>
                </c:pt>
              </c:strCache>
            </c:strRef>
          </c:tx>
          <c:spPr>
            <a:ln w="28575" cap="rnd">
              <a:solidFill>
                <a:schemeClr val="accent3"/>
              </a:solidFill>
              <a:round/>
            </a:ln>
            <a:effectLst/>
          </c:spPr>
          <c:marker>
            <c:symbol val="none"/>
          </c:marker>
          <c:cat>
            <c:numRef>
              <c:f>'Ark1'!$A$2:$A$11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'Ark1'!$D$2:$D$11</c:f>
              <c:numCache>
                <c:formatCode>General</c:formatCode>
                <c:ptCount val="10"/>
                <c:pt idx="0">
                  <c:v>0.8</c:v>
                </c:pt>
                <c:pt idx="1">
                  <c:v>0.8</c:v>
                </c:pt>
                <c:pt idx="2">
                  <c:v>0.9</c:v>
                </c:pt>
                <c:pt idx="3">
                  <c:v>1</c:v>
                </c:pt>
                <c:pt idx="4">
                  <c:v>1.1000000000000001</c:v>
                </c:pt>
                <c:pt idx="5">
                  <c:v>1.1000000000000001</c:v>
                </c:pt>
                <c:pt idx="6">
                  <c:v>1.1000000000000001</c:v>
                </c:pt>
                <c:pt idx="7">
                  <c:v>1.2</c:v>
                </c:pt>
                <c:pt idx="8">
                  <c:v>1.2</c:v>
                </c:pt>
                <c:pt idx="9">
                  <c:v>1.2</c:v>
                </c:pt>
              </c:numCache>
            </c:numRef>
          </c:val>
          <c:smooth val="0"/>
          <c:extLst>
            <c:ext xmlns:c16="http://schemas.microsoft.com/office/drawing/2014/chart" uri="{C3380CC4-5D6E-409C-BE32-E72D297353CC}">
              <c16:uniqueId val="{00000002-4016-4BFF-B59D-F9407BF30C3B}"/>
            </c:ext>
          </c:extLst>
        </c:ser>
        <c:ser>
          <c:idx val="3"/>
          <c:order val="3"/>
          <c:tx>
            <c:strRef>
              <c:f>'Ark1'!$E$1</c:f>
              <c:strCache>
                <c:ptCount val="1"/>
                <c:pt idx="0">
                  <c:v>Andel 20-24 år</c:v>
                </c:pt>
              </c:strCache>
            </c:strRef>
          </c:tx>
          <c:spPr>
            <a:ln w="28575" cap="rnd">
              <a:solidFill>
                <a:schemeClr val="accent4"/>
              </a:solidFill>
              <a:round/>
            </a:ln>
            <a:effectLst/>
          </c:spPr>
          <c:marker>
            <c:symbol val="none"/>
          </c:marker>
          <c:cat>
            <c:numRef>
              <c:f>'Ark1'!$A$2:$A$11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'Ark1'!$E$2:$E$11</c:f>
              <c:numCache>
                <c:formatCode>General</c:formatCode>
                <c:ptCount val="10"/>
                <c:pt idx="0">
                  <c:v>1.1000000000000001</c:v>
                </c:pt>
                <c:pt idx="1">
                  <c:v>1.2</c:v>
                </c:pt>
                <c:pt idx="2">
                  <c:v>1.3</c:v>
                </c:pt>
                <c:pt idx="3">
                  <c:v>1.4</c:v>
                </c:pt>
                <c:pt idx="4">
                  <c:v>1.5</c:v>
                </c:pt>
                <c:pt idx="5">
                  <c:v>1.7</c:v>
                </c:pt>
                <c:pt idx="6">
                  <c:v>1.9</c:v>
                </c:pt>
                <c:pt idx="7">
                  <c:v>2</c:v>
                </c:pt>
                <c:pt idx="8">
                  <c:v>2.1</c:v>
                </c:pt>
                <c:pt idx="9">
                  <c:v>2.1</c:v>
                </c:pt>
              </c:numCache>
            </c:numRef>
          </c:val>
          <c:smooth val="0"/>
          <c:extLst>
            <c:ext xmlns:c16="http://schemas.microsoft.com/office/drawing/2014/chart" uri="{C3380CC4-5D6E-409C-BE32-E72D297353CC}">
              <c16:uniqueId val="{00000003-4016-4BFF-B59D-F9407BF30C3B}"/>
            </c:ext>
          </c:extLst>
        </c:ser>
        <c:ser>
          <c:idx val="4"/>
          <c:order val="4"/>
          <c:tx>
            <c:strRef>
              <c:f>'Ark1'!$F$1</c:f>
              <c:strCache>
                <c:ptCount val="1"/>
                <c:pt idx="0">
                  <c:v>Andel 25-29 år</c:v>
                </c:pt>
              </c:strCache>
            </c:strRef>
          </c:tx>
          <c:spPr>
            <a:ln w="28575" cap="rnd">
              <a:solidFill>
                <a:schemeClr val="accent5"/>
              </a:solidFill>
              <a:round/>
            </a:ln>
            <a:effectLst/>
          </c:spPr>
          <c:marker>
            <c:symbol val="none"/>
          </c:marker>
          <c:cat>
            <c:numRef>
              <c:f>'Ark1'!$A$2:$A$11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'Ark1'!$F$2:$F$11</c:f>
              <c:numCache>
                <c:formatCode>General</c:formatCode>
                <c:ptCount val="10"/>
                <c:pt idx="0">
                  <c:v>1.6</c:v>
                </c:pt>
                <c:pt idx="1">
                  <c:v>1.6</c:v>
                </c:pt>
                <c:pt idx="2">
                  <c:v>1.8</c:v>
                </c:pt>
                <c:pt idx="3">
                  <c:v>2</c:v>
                </c:pt>
                <c:pt idx="4">
                  <c:v>2.2000000000000002</c:v>
                </c:pt>
                <c:pt idx="5">
                  <c:v>2.5</c:v>
                </c:pt>
                <c:pt idx="6">
                  <c:v>2.9</c:v>
                </c:pt>
                <c:pt idx="7">
                  <c:v>3.3</c:v>
                </c:pt>
                <c:pt idx="8">
                  <c:v>3.5</c:v>
                </c:pt>
                <c:pt idx="9">
                  <c:v>3.6</c:v>
                </c:pt>
              </c:numCache>
            </c:numRef>
          </c:val>
          <c:smooth val="0"/>
          <c:extLst>
            <c:ext xmlns:c16="http://schemas.microsoft.com/office/drawing/2014/chart" uri="{C3380CC4-5D6E-409C-BE32-E72D297353CC}">
              <c16:uniqueId val="{00000004-4016-4BFF-B59D-F9407BF30C3B}"/>
            </c:ext>
          </c:extLst>
        </c:ser>
        <c:dLbls>
          <c:showLegendKey val="0"/>
          <c:showVal val="0"/>
          <c:showCatName val="0"/>
          <c:showSerName val="0"/>
          <c:showPercent val="0"/>
          <c:showBubbleSize val="0"/>
        </c:dLbls>
        <c:marker val="1"/>
        <c:smooth val="0"/>
        <c:axId val="1164585760"/>
        <c:axId val="1164579200"/>
      </c:lineChart>
      <c:catAx>
        <c:axId val="7071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707170200"/>
        <c:crosses val="autoZero"/>
        <c:auto val="1"/>
        <c:lblAlgn val="ctr"/>
        <c:lblOffset val="100"/>
        <c:noMultiLvlLbl val="0"/>
      </c:catAx>
      <c:valAx>
        <c:axId val="70717020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707170528"/>
        <c:crosses val="autoZero"/>
        <c:crossBetween val="between"/>
      </c:valAx>
      <c:valAx>
        <c:axId val="1164579200"/>
        <c:scaling>
          <c:orientation val="minMax"/>
          <c:max val="14"/>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164585760"/>
        <c:crosses val="max"/>
        <c:crossBetween val="between"/>
      </c:valAx>
      <c:catAx>
        <c:axId val="1164585760"/>
        <c:scaling>
          <c:orientation val="minMax"/>
        </c:scaling>
        <c:delete val="1"/>
        <c:axPos val="b"/>
        <c:numFmt formatCode="General" sourceLinked="1"/>
        <c:majorTickMark val="out"/>
        <c:minorTickMark val="none"/>
        <c:tickLblPos val="nextTo"/>
        <c:crossAx val="1164579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Langtidsarbeidssøker</c:v>
                </c:pt>
              </c:strCache>
            </c:strRef>
          </c:tx>
          <c:spPr>
            <a:solidFill>
              <a:schemeClr val="accent1"/>
            </a:solidFill>
            <a:ln>
              <a:noFill/>
            </a:ln>
            <a:effectLst/>
          </c:spPr>
          <c:invertIfNegative val="0"/>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'Ark1'!$B$2:$B$29</c:f>
              <c:numCache>
                <c:formatCode>General</c:formatCode>
                <c:ptCount val="28"/>
                <c:pt idx="0">
                  <c:v>48743</c:v>
                </c:pt>
                <c:pt idx="1">
                  <c:v>49764</c:v>
                </c:pt>
                <c:pt idx="2">
                  <c:v>53218</c:v>
                </c:pt>
                <c:pt idx="3">
                  <c:v>56001</c:v>
                </c:pt>
                <c:pt idx="4">
                  <c:v>58318</c:v>
                </c:pt>
                <c:pt idx="5">
                  <c:v>59326</c:v>
                </c:pt>
                <c:pt idx="6">
                  <c:v>62645</c:v>
                </c:pt>
                <c:pt idx="7">
                  <c:v>64160</c:v>
                </c:pt>
                <c:pt idx="8">
                  <c:v>121384</c:v>
                </c:pt>
                <c:pt idx="9">
                  <c:v>121604</c:v>
                </c:pt>
                <c:pt idx="10">
                  <c:v>117935</c:v>
                </c:pt>
                <c:pt idx="11">
                  <c:v>114017</c:v>
                </c:pt>
                <c:pt idx="12">
                  <c:v>108864</c:v>
                </c:pt>
                <c:pt idx="13">
                  <c:v>108339</c:v>
                </c:pt>
                <c:pt idx="14">
                  <c:v>108463</c:v>
                </c:pt>
                <c:pt idx="15">
                  <c:v>108784</c:v>
                </c:pt>
                <c:pt idx="16">
                  <c:v>114920</c:v>
                </c:pt>
                <c:pt idx="17">
                  <c:v>108157</c:v>
                </c:pt>
                <c:pt idx="18">
                  <c:v>105277</c:v>
                </c:pt>
                <c:pt idx="19">
                  <c:v>99400</c:v>
                </c:pt>
                <c:pt idx="20">
                  <c:v>90900</c:v>
                </c:pt>
                <c:pt idx="21">
                  <c:v>82600</c:v>
                </c:pt>
                <c:pt idx="22">
                  <c:v>75700</c:v>
                </c:pt>
                <c:pt idx="23">
                  <c:v>74000</c:v>
                </c:pt>
                <c:pt idx="24">
                  <c:v>70183</c:v>
                </c:pt>
                <c:pt idx="25">
                  <c:v>68005</c:v>
                </c:pt>
                <c:pt idx="26">
                  <c:v>65064</c:v>
                </c:pt>
                <c:pt idx="27">
                  <c:v>58535</c:v>
                </c:pt>
              </c:numCache>
            </c:numRef>
          </c:val>
          <c:extLst>
            <c:ext xmlns:c16="http://schemas.microsoft.com/office/drawing/2014/chart" uri="{C3380CC4-5D6E-409C-BE32-E72D297353CC}">
              <c16:uniqueId val="{00000000-0011-4632-8A30-208923979168}"/>
            </c:ext>
          </c:extLst>
        </c:ser>
        <c:ser>
          <c:idx val="1"/>
          <c:order val="1"/>
          <c:tx>
            <c:strRef>
              <c:f>'Ark1'!$C$1</c:f>
              <c:strCache>
                <c:ptCount val="1"/>
                <c:pt idx="0">
                  <c:v>Arbeidssøker over 1 år</c:v>
                </c:pt>
              </c:strCache>
            </c:strRef>
          </c:tx>
          <c:spPr>
            <a:solidFill>
              <a:schemeClr val="accent2"/>
            </a:solidFill>
            <a:ln>
              <a:noFill/>
            </a:ln>
            <a:effectLst/>
          </c:spPr>
          <c:invertIfNegative val="0"/>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'Ark1'!$C$2:$C$29</c:f>
              <c:numCache>
                <c:formatCode>General</c:formatCode>
                <c:ptCount val="28"/>
                <c:pt idx="0">
                  <c:v>31305</c:v>
                </c:pt>
                <c:pt idx="1">
                  <c:v>31177</c:v>
                </c:pt>
                <c:pt idx="2">
                  <c:v>32054</c:v>
                </c:pt>
                <c:pt idx="3">
                  <c:v>32497</c:v>
                </c:pt>
                <c:pt idx="4">
                  <c:v>33030</c:v>
                </c:pt>
                <c:pt idx="5">
                  <c:v>34119</c:v>
                </c:pt>
                <c:pt idx="6">
                  <c:v>34515</c:v>
                </c:pt>
                <c:pt idx="7">
                  <c:v>35986</c:v>
                </c:pt>
                <c:pt idx="8">
                  <c:v>37209</c:v>
                </c:pt>
                <c:pt idx="9">
                  <c:v>37775</c:v>
                </c:pt>
                <c:pt idx="10">
                  <c:v>38186</c:v>
                </c:pt>
                <c:pt idx="11">
                  <c:v>38228</c:v>
                </c:pt>
                <c:pt idx="12">
                  <c:v>39383</c:v>
                </c:pt>
                <c:pt idx="13">
                  <c:v>40364</c:v>
                </c:pt>
                <c:pt idx="14">
                  <c:v>69159</c:v>
                </c:pt>
                <c:pt idx="15">
                  <c:v>77583</c:v>
                </c:pt>
                <c:pt idx="16">
                  <c:v>76520</c:v>
                </c:pt>
                <c:pt idx="17">
                  <c:v>73419</c:v>
                </c:pt>
                <c:pt idx="18">
                  <c:v>70928</c:v>
                </c:pt>
                <c:pt idx="19">
                  <c:v>68200</c:v>
                </c:pt>
                <c:pt idx="20">
                  <c:v>63900</c:v>
                </c:pt>
                <c:pt idx="21">
                  <c:v>59300</c:v>
                </c:pt>
                <c:pt idx="22">
                  <c:v>56300</c:v>
                </c:pt>
                <c:pt idx="23">
                  <c:v>55300</c:v>
                </c:pt>
                <c:pt idx="24">
                  <c:v>53620</c:v>
                </c:pt>
                <c:pt idx="25">
                  <c:v>52404</c:v>
                </c:pt>
                <c:pt idx="26">
                  <c:v>49419</c:v>
                </c:pt>
                <c:pt idx="27">
                  <c:v>43033</c:v>
                </c:pt>
              </c:numCache>
            </c:numRef>
          </c:val>
          <c:extLst>
            <c:ext xmlns:c16="http://schemas.microsoft.com/office/drawing/2014/chart" uri="{C3380CC4-5D6E-409C-BE32-E72D297353CC}">
              <c16:uniqueId val="{00000001-0011-4632-8A30-208923979168}"/>
            </c:ext>
          </c:extLst>
        </c:ser>
        <c:ser>
          <c:idx val="2"/>
          <c:order val="2"/>
          <c:tx>
            <c:strRef>
              <c:f>'Ark1'!$D$1</c:f>
              <c:strCache>
                <c:ptCount val="1"/>
                <c:pt idx="0">
                  <c:v>Arbeidssøker over 2 år </c:v>
                </c:pt>
              </c:strCache>
            </c:strRef>
          </c:tx>
          <c:spPr>
            <a:solidFill>
              <a:schemeClr val="accent3"/>
            </a:solidFill>
            <a:ln>
              <a:noFill/>
            </a:ln>
            <a:effectLst/>
          </c:spPr>
          <c:invertIfNegative val="0"/>
          <c:cat>
            <c:numRef>
              <c:f>'Ark1'!$A$2:$A$29</c:f>
              <c:numCache>
                <c:formatCode>mmm\-yy</c:formatCode>
                <c:ptCount val="2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numCache>
            </c:numRef>
          </c:cat>
          <c:val>
            <c:numRef>
              <c:f>'Ark1'!$D$2:$D$29</c:f>
              <c:numCache>
                <c:formatCode>General</c:formatCode>
                <c:ptCount val="28"/>
                <c:pt idx="0">
                  <c:v>12410</c:v>
                </c:pt>
                <c:pt idx="1">
                  <c:v>12414</c:v>
                </c:pt>
                <c:pt idx="2">
                  <c:v>12589</c:v>
                </c:pt>
                <c:pt idx="3">
                  <c:v>13026</c:v>
                </c:pt>
                <c:pt idx="4">
                  <c:v>13132</c:v>
                </c:pt>
                <c:pt idx="5">
                  <c:v>13690</c:v>
                </c:pt>
                <c:pt idx="6">
                  <c:v>13845</c:v>
                </c:pt>
                <c:pt idx="7">
                  <c:v>14239</c:v>
                </c:pt>
                <c:pt idx="8">
                  <c:v>14573</c:v>
                </c:pt>
                <c:pt idx="9">
                  <c:v>14681</c:v>
                </c:pt>
                <c:pt idx="10">
                  <c:v>14790</c:v>
                </c:pt>
                <c:pt idx="11">
                  <c:v>14497</c:v>
                </c:pt>
                <c:pt idx="12">
                  <c:v>14679</c:v>
                </c:pt>
                <c:pt idx="13">
                  <c:v>14919</c:v>
                </c:pt>
                <c:pt idx="14">
                  <c:v>15236</c:v>
                </c:pt>
                <c:pt idx="15">
                  <c:v>15523</c:v>
                </c:pt>
                <c:pt idx="16">
                  <c:v>15731</c:v>
                </c:pt>
                <c:pt idx="17">
                  <c:v>16534</c:v>
                </c:pt>
                <c:pt idx="18">
                  <c:v>16687</c:v>
                </c:pt>
                <c:pt idx="19" formatCode="#,##0">
                  <c:v>17419</c:v>
                </c:pt>
                <c:pt idx="20" formatCode="#,##0">
                  <c:v>17563</c:v>
                </c:pt>
                <c:pt idx="21" formatCode="#,##0">
                  <c:v>17587</c:v>
                </c:pt>
                <c:pt idx="22" formatCode="#,##0">
                  <c:v>17741</c:v>
                </c:pt>
                <c:pt idx="23" formatCode="#,##0">
                  <c:v>17765</c:v>
                </c:pt>
                <c:pt idx="24" formatCode="#,##0">
                  <c:v>18299</c:v>
                </c:pt>
                <c:pt idx="25" formatCode="#,##0">
                  <c:v>18513</c:v>
                </c:pt>
                <c:pt idx="26" formatCode="#,##0">
                  <c:v>25714</c:v>
                </c:pt>
                <c:pt idx="27">
                  <c:v>22982</c:v>
                </c:pt>
              </c:numCache>
            </c:numRef>
          </c:val>
          <c:extLst>
            <c:ext xmlns:c16="http://schemas.microsoft.com/office/drawing/2014/chart" uri="{C3380CC4-5D6E-409C-BE32-E72D297353CC}">
              <c16:uniqueId val="{00000002-0011-4632-8A30-208923979168}"/>
            </c:ext>
          </c:extLst>
        </c:ser>
        <c:dLbls>
          <c:showLegendKey val="0"/>
          <c:showVal val="0"/>
          <c:showCatName val="0"/>
          <c:showSerName val="0"/>
          <c:showPercent val="0"/>
          <c:showBubbleSize val="0"/>
        </c:dLbls>
        <c:gapWidth val="219"/>
        <c:overlap val="-27"/>
        <c:axId val="907751472"/>
        <c:axId val="907756392"/>
      </c:barChart>
      <c:dateAx>
        <c:axId val="9077514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07756392"/>
        <c:crosses val="autoZero"/>
        <c:auto val="1"/>
        <c:lblOffset val="100"/>
        <c:baseTimeUnit val="months"/>
      </c:dateAx>
      <c:valAx>
        <c:axId val="907756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9077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B03A7447884E3FA5CB63913E6EE12A"/>
        <w:category>
          <w:name w:val="Generelt"/>
          <w:gallery w:val="placeholder"/>
        </w:category>
        <w:types>
          <w:type w:val="bbPlcHdr"/>
        </w:types>
        <w:behaviors>
          <w:behavior w:val="content"/>
        </w:behaviors>
        <w:guid w:val="{0B8E132A-077E-43B5-8653-738DC003E67B}"/>
      </w:docPartPr>
      <w:docPartBody>
        <w:p w:rsidR="00216885" w:rsidRDefault="008B39B2">
          <w:r w:rsidRPr="00A84BA4">
            <w:rPr>
              <w:rStyle w:val="Plassholdertekst"/>
            </w:rPr>
            <w:t>[Overskrift 1]</w:t>
          </w:r>
        </w:p>
      </w:docPartBody>
    </w:docPart>
    <w:docPart>
      <w:docPartPr>
        <w:name w:val="FF768861DBDC448AB22078210413DBA1"/>
        <w:category>
          <w:name w:val="Generelt"/>
          <w:gallery w:val="placeholder"/>
        </w:category>
        <w:types>
          <w:type w:val="bbPlcHdr"/>
        </w:types>
        <w:behaviors>
          <w:behavior w:val="content"/>
        </w:behaviors>
        <w:guid w:val="{A69FED93-4F03-490D-A138-314DD5D6ACB7}"/>
      </w:docPartPr>
      <w:docPartBody>
        <w:p w:rsidR="00216885" w:rsidRDefault="008B39B2">
          <w:r w:rsidRPr="00A84BA4">
            <w:rPr>
              <w:rStyle w:val="Plassholdertekst"/>
            </w:rPr>
            <w:t>[Bunntekst]</w:t>
          </w:r>
        </w:p>
      </w:docPartBody>
    </w:docPart>
    <w:docPart>
      <w:docPartPr>
        <w:name w:val="D46065D2571D493F8C227552DCA6BF69"/>
        <w:category>
          <w:name w:val="Generelt"/>
          <w:gallery w:val="placeholder"/>
        </w:category>
        <w:types>
          <w:type w:val="bbPlcHdr"/>
        </w:types>
        <w:behaviors>
          <w:behavior w:val="content"/>
        </w:behaviors>
        <w:guid w:val="{BA52F90F-ADAA-424B-83E8-6E724F924E5F}"/>
      </w:docPartPr>
      <w:docPartBody>
        <w:p w:rsidR="00216885" w:rsidRDefault="008B39B2">
          <w:r w:rsidRPr="00A84BA4">
            <w:rPr>
              <w:rStyle w:val="Plassholdertekst"/>
            </w:rPr>
            <w:t>[Tittel]</w:t>
          </w:r>
        </w:p>
      </w:docPartBody>
    </w:docPart>
    <w:docPart>
      <w:docPartPr>
        <w:name w:val="A6B44779B8054345BD83D451C4999584"/>
        <w:category>
          <w:name w:val="Generelt"/>
          <w:gallery w:val="placeholder"/>
        </w:category>
        <w:types>
          <w:type w:val="bbPlcHdr"/>
        </w:types>
        <w:behaviors>
          <w:behavior w:val="content"/>
        </w:behaviors>
        <w:guid w:val="{FEC47BD6-38B6-48AE-98E2-DE03288D0B9D}"/>
      </w:docPartPr>
      <w:docPartBody>
        <w:p w:rsidR="00216885" w:rsidRDefault="008B39B2">
          <w:r w:rsidRPr="00A84BA4">
            <w:rPr>
              <w:rStyle w:val="Plassholdertekst"/>
            </w:rPr>
            <w:t>[Undertittel]</w:t>
          </w:r>
        </w:p>
      </w:docPartBody>
    </w:docPart>
    <w:docPart>
      <w:docPartPr>
        <w:name w:val="5255F2EAE9B44FE0BD1E16B75B0B4A4C"/>
        <w:category>
          <w:name w:val="Generelt"/>
          <w:gallery w:val="placeholder"/>
        </w:category>
        <w:types>
          <w:type w:val="bbPlcHdr"/>
        </w:types>
        <w:behaviors>
          <w:behavior w:val="content"/>
        </w:behaviors>
        <w:guid w:val="{CFCFB759-6073-4675-A91F-FCC395A573C0}"/>
      </w:docPartPr>
      <w:docPartBody>
        <w:p w:rsidR="00216885" w:rsidRDefault="008B39B2">
          <w:r w:rsidRPr="00A84BA4">
            <w:rPr>
              <w:rStyle w:val="Plassholdertekst"/>
            </w:rPr>
            <w:t>[Bunntekst]</w:t>
          </w:r>
        </w:p>
      </w:docPartBody>
    </w:docPart>
    <w:docPart>
      <w:docPartPr>
        <w:name w:val="8151E73BAEA74DA5841FC160DDE5D8BF"/>
        <w:category>
          <w:name w:val="Generelt"/>
          <w:gallery w:val="placeholder"/>
        </w:category>
        <w:types>
          <w:type w:val="bbPlcHdr"/>
        </w:types>
        <w:behaviors>
          <w:behavior w:val="content"/>
        </w:behaviors>
        <w:guid w:val="{F938ABE5-1ED5-41C5-9E0C-07636F08697C}"/>
      </w:docPartPr>
      <w:docPartBody>
        <w:p w:rsidR="000A6D95" w:rsidRDefault="00363089">
          <w:pPr>
            <w:pStyle w:val="8151E73BAEA74DA5841FC160DDE5D8BF"/>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15DA1"/>
    <w:rsid w:val="000A6D95"/>
    <w:rsid w:val="00167976"/>
    <w:rsid w:val="00216885"/>
    <w:rsid w:val="003010DA"/>
    <w:rsid w:val="00363089"/>
    <w:rsid w:val="008B39B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8151E73BAEA74DA5841FC160DDE5D8BF">
    <w:name w:val="8151E73BAEA74DA5841FC160DDE5D8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O 120219">
    <a:dk1>
      <a:sysClr val="windowText" lastClr="000000"/>
    </a:dk1>
    <a:lt1>
      <a:sysClr val="window" lastClr="FFFFFF"/>
    </a:lt1>
    <a:dk2>
      <a:srgbClr val="CCCCCC"/>
    </a:dk2>
    <a:lt2>
      <a:srgbClr val="FF0000"/>
    </a:lt2>
    <a:accent1>
      <a:srgbClr val="666666"/>
    </a:accent1>
    <a:accent2>
      <a:srgbClr val="FF0000"/>
    </a:accent2>
    <a:accent3>
      <a:srgbClr val="009FE3"/>
    </a:accent3>
    <a:accent4>
      <a:srgbClr val="3FA535"/>
    </a:accent4>
    <a:accent5>
      <a:srgbClr val="F69F07"/>
    </a:accent5>
    <a:accent6>
      <a:srgbClr val="283583"/>
    </a:accent6>
    <a:hlink>
      <a:srgbClr val="0563C1"/>
    </a:hlink>
    <a:folHlink>
      <a:srgbClr val="954F72"/>
    </a:folHlink>
  </a:clrScheme>
  <a:fontScheme name="Custom 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3" ma:contentTypeDescription="Opprett et nytt dokument." ma:contentTypeScope="" ma:versionID="4c12ce9ee8fb6fb37da3d9c750fc90e3">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3374cab4c293d9ea8a5bb7ad6db025f8"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Bunntekst>Konjunkturutsiktene</Bunntekst>
  <Tittel>Konjunkturutsiktene</Tittel>
  <Undertittel>Våren 2022
Samfunnspolitisk avdeling
Samfunnsnotat nr. 1 – mai 2022</Undertittel>
</root>
</file>

<file path=customXml/itemProps1.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2.xml><?xml version="1.0" encoding="utf-8"?>
<ds:datastoreItem xmlns:ds="http://schemas.openxmlformats.org/officeDocument/2006/customXml" ds:itemID="{178A8709-DF4F-4F1F-A89B-115F724931A0}">
  <ds:schemaRefs>
    <ds:schemaRef ds:uri="http://schemas.microsoft.com/sharepoint/v3/contenttype/forms"/>
  </ds:schemaRefs>
</ds:datastoreItem>
</file>

<file path=customXml/itemProps3.xml><?xml version="1.0" encoding="utf-8"?>
<ds:datastoreItem xmlns:ds="http://schemas.openxmlformats.org/officeDocument/2006/customXml" ds:itemID="{9502817D-601D-4037-950A-898ECD8103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5EFBA4-DAC8-4C3C-84B2-84660E94C574}"/>
</file>

<file path=customXml/itemProps5.xml><?xml version="1.0" encoding="utf-8"?>
<ds:datastoreItem xmlns:ds="http://schemas.openxmlformats.org/officeDocument/2006/customXml" ds:itemID="{63A34530-F6D5-4DA7-86C0-3EA00FDDB67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6881</Words>
  <Characters>36472</Characters>
  <Application>Microsoft Office Word</Application>
  <DocSecurity>0</DocSecurity>
  <Lines>303</Lines>
  <Paragraphs>86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43267</CharactersWithSpaces>
  <SharedDoc>false</SharedDoc>
  <HLinks>
    <vt:vector size="90" baseType="variant">
      <vt:variant>
        <vt:i4>393297</vt:i4>
      </vt:variant>
      <vt:variant>
        <vt:i4>90</vt:i4>
      </vt:variant>
      <vt:variant>
        <vt:i4>0</vt:i4>
      </vt:variant>
      <vt:variant>
        <vt:i4>5</vt:i4>
      </vt:variant>
      <vt:variant>
        <vt:lpwstr>http://www.lo.no/</vt:lpwstr>
      </vt:variant>
      <vt:variant>
        <vt:lpwstr/>
      </vt:variant>
      <vt:variant>
        <vt:i4>1376307</vt:i4>
      </vt:variant>
      <vt:variant>
        <vt:i4>74</vt:i4>
      </vt:variant>
      <vt:variant>
        <vt:i4>0</vt:i4>
      </vt:variant>
      <vt:variant>
        <vt:i4>5</vt:i4>
      </vt:variant>
      <vt:variant>
        <vt:lpwstr/>
      </vt:variant>
      <vt:variant>
        <vt:lpwstr>_Toc103066744</vt:lpwstr>
      </vt:variant>
      <vt:variant>
        <vt:i4>1376307</vt:i4>
      </vt:variant>
      <vt:variant>
        <vt:i4>68</vt:i4>
      </vt:variant>
      <vt:variant>
        <vt:i4>0</vt:i4>
      </vt:variant>
      <vt:variant>
        <vt:i4>5</vt:i4>
      </vt:variant>
      <vt:variant>
        <vt:lpwstr/>
      </vt:variant>
      <vt:variant>
        <vt:lpwstr>_Toc103066743</vt:lpwstr>
      </vt:variant>
      <vt:variant>
        <vt:i4>1376307</vt:i4>
      </vt:variant>
      <vt:variant>
        <vt:i4>62</vt:i4>
      </vt:variant>
      <vt:variant>
        <vt:i4>0</vt:i4>
      </vt:variant>
      <vt:variant>
        <vt:i4>5</vt:i4>
      </vt:variant>
      <vt:variant>
        <vt:lpwstr/>
      </vt:variant>
      <vt:variant>
        <vt:lpwstr>_Toc103066742</vt:lpwstr>
      </vt:variant>
      <vt:variant>
        <vt:i4>1376307</vt:i4>
      </vt:variant>
      <vt:variant>
        <vt:i4>56</vt:i4>
      </vt:variant>
      <vt:variant>
        <vt:i4>0</vt:i4>
      </vt:variant>
      <vt:variant>
        <vt:i4>5</vt:i4>
      </vt:variant>
      <vt:variant>
        <vt:lpwstr/>
      </vt:variant>
      <vt:variant>
        <vt:lpwstr>_Toc103066741</vt:lpwstr>
      </vt:variant>
      <vt:variant>
        <vt:i4>1376307</vt:i4>
      </vt:variant>
      <vt:variant>
        <vt:i4>50</vt:i4>
      </vt:variant>
      <vt:variant>
        <vt:i4>0</vt:i4>
      </vt:variant>
      <vt:variant>
        <vt:i4>5</vt:i4>
      </vt:variant>
      <vt:variant>
        <vt:lpwstr/>
      </vt:variant>
      <vt:variant>
        <vt:lpwstr>_Toc103066740</vt:lpwstr>
      </vt:variant>
      <vt:variant>
        <vt:i4>1179699</vt:i4>
      </vt:variant>
      <vt:variant>
        <vt:i4>44</vt:i4>
      </vt:variant>
      <vt:variant>
        <vt:i4>0</vt:i4>
      </vt:variant>
      <vt:variant>
        <vt:i4>5</vt:i4>
      </vt:variant>
      <vt:variant>
        <vt:lpwstr/>
      </vt:variant>
      <vt:variant>
        <vt:lpwstr>_Toc103066739</vt:lpwstr>
      </vt:variant>
      <vt:variant>
        <vt:i4>1179699</vt:i4>
      </vt:variant>
      <vt:variant>
        <vt:i4>38</vt:i4>
      </vt:variant>
      <vt:variant>
        <vt:i4>0</vt:i4>
      </vt:variant>
      <vt:variant>
        <vt:i4>5</vt:i4>
      </vt:variant>
      <vt:variant>
        <vt:lpwstr/>
      </vt:variant>
      <vt:variant>
        <vt:lpwstr>_Toc103066738</vt:lpwstr>
      </vt:variant>
      <vt:variant>
        <vt:i4>1179699</vt:i4>
      </vt:variant>
      <vt:variant>
        <vt:i4>32</vt:i4>
      </vt:variant>
      <vt:variant>
        <vt:i4>0</vt:i4>
      </vt:variant>
      <vt:variant>
        <vt:i4>5</vt:i4>
      </vt:variant>
      <vt:variant>
        <vt:lpwstr/>
      </vt:variant>
      <vt:variant>
        <vt:lpwstr>_Toc103066737</vt:lpwstr>
      </vt:variant>
      <vt:variant>
        <vt:i4>1179699</vt:i4>
      </vt:variant>
      <vt:variant>
        <vt:i4>26</vt:i4>
      </vt:variant>
      <vt:variant>
        <vt:i4>0</vt:i4>
      </vt:variant>
      <vt:variant>
        <vt:i4>5</vt:i4>
      </vt:variant>
      <vt:variant>
        <vt:lpwstr/>
      </vt:variant>
      <vt:variant>
        <vt:lpwstr>_Toc103066736</vt:lpwstr>
      </vt:variant>
      <vt:variant>
        <vt:i4>1179699</vt:i4>
      </vt:variant>
      <vt:variant>
        <vt:i4>20</vt:i4>
      </vt:variant>
      <vt:variant>
        <vt:i4>0</vt:i4>
      </vt:variant>
      <vt:variant>
        <vt:i4>5</vt:i4>
      </vt:variant>
      <vt:variant>
        <vt:lpwstr/>
      </vt:variant>
      <vt:variant>
        <vt:lpwstr>_Toc103066735</vt:lpwstr>
      </vt:variant>
      <vt:variant>
        <vt:i4>1179699</vt:i4>
      </vt:variant>
      <vt:variant>
        <vt:i4>14</vt:i4>
      </vt:variant>
      <vt:variant>
        <vt:i4>0</vt:i4>
      </vt:variant>
      <vt:variant>
        <vt:i4>5</vt:i4>
      </vt:variant>
      <vt:variant>
        <vt:lpwstr/>
      </vt:variant>
      <vt:variant>
        <vt:lpwstr>_Toc103066734</vt:lpwstr>
      </vt:variant>
      <vt:variant>
        <vt:i4>1179699</vt:i4>
      </vt:variant>
      <vt:variant>
        <vt:i4>8</vt:i4>
      </vt:variant>
      <vt:variant>
        <vt:i4>0</vt:i4>
      </vt:variant>
      <vt:variant>
        <vt:i4>5</vt:i4>
      </vt:variant>
      <vt:variant>
        <vt:lpwstr/>
      </vt:variant>
      <vt:variant>
        <vt:lpwstr>_Toc103066733</vt:lpwstr>
      </vt:variant>
      <vt:variant>
        <vt:i4>1179699</vt:i4>
      </vt:variant>
      <vt:variant>
        <vt:i4>2</vt:i4>
      </vt:variant>
      <vt:variant>
        <vt:i4>0</vt:i4>
      </vt:variant>
      <vt:variant>
        <vt:i4>5</vt:i4>
      </vt:variant>
      <vt:variant>
        <vt:lpwstr/>
      </vt:variant>
      <vt:variant>
        <vt:lpwstr>_Toc103066732</vt:lpwstr>
      </vt:variant>
      <vt:variant>
        <vt:i4>7143486</vt:i4>
      </vt:variant>
      <vt:variant>
        <vt:i4>0</vt:i4>
      </vt:variant>
      <vt:variant>
        <vt:i4>0</vt:i4>
      </vt:variant>
      <vt:variant>
        <vt:i4>5</vt:i4>
      </vt:variant>
      <vt:variant>
        <vt:lpwstr>https://www.samfunnsokonomisk-analyse.no/rapporter/2019/5/2/r8-2019-hvordan-br-sentrale-mekanismer-i-den-norske-modellen-reflekteres-i-makrokonomiske-modeller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Bjørnbekk</dc:creator>
  <cp:keywords/>
  <dc:description/>
  <cp:lastModifiedBy>Jeanette Grendal Østling</cp:lastModifiedBy>
  <cp:revision>2</cp:revision>
  <dcterms:created xsi:type="dcterms:W3CDTF">2022-05-10T09:37:00Z</dcterms:created>
  <dcterms:modified xsi:type="dcterms:W3CDTF">2022-05-10T09:37:00Z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637345402367795286</vt:lpwstr>
  </property>
  <property fmtid="{D5CDD505-2E9C-101B-9397-08002B2CF9AE}" pid="5" name="ContentTypeId">
    <vt:lpwstr>0x010100D7480FD09D8099429096AF2E9641F8B8</vt:lpwstr>
  </property>
</Properties>
</file>